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C38" w:rsidRDefault="00A47C38" w:rsidP="00A47C38">
      <w:pPr>
        <w:ind w:left="-142"/>
        <w:jc w:val="both"/>
        <w:rPr>
          <w:rFonts w:ascii="Arial" w:hAnsi="Arial" w:cs="Arial"/>
          <w:b/>
          <w:sz w:val="22"/>
          <w:szCs w:val="24"/>
        </w:rPr>
      </w:pPr>
    </w:p>
    <w:p w:rsidR="00A47C38" w:rsidRPr="000E3E7A" w:rsidRDefault="00A47C38" w:rsidP="00A47C38">
      <w:pPr>
        <w:ind w:left="-142"/>
        <w:jc w:val="both"/>
        <w:rPr>
          <w:b/>
          <w:sz w:val="24"/>
          <w:szCs w:val="24"/>
        </w:rPr>
      </w:pPr>
      <w:r w:rsidRPr="000E3E7A">
        <w:rPr>
          <w:b/>
          <w:sz w:val="24"/>
          <w:szCs w:val="24"/>
        </w:rPr>
        <w:t>1. AMAÇ</w:t>
      </w:r>
    </w:p>
    <w:p w:rsidR="00A47C38" w:rsidRPr="000E3E7A" w:rsidRDefault="00A47C38" w:rsidP="00A47C38">
      <w:pPr>
        <w:ind w:left="-142"/>
        <w:jc w:val="both"/>
        <w:rPr>
          <w:bCs/>
          <w:sz w:val="24"/>
          <w:szCs w:val="24"/>
        </w:rPr>
      </w:pPr>
      <w:r w:rsidRPr="000E3E7A">
        <w:rPr>
          <w:sz w:val="24"/>
          <w:szCs w:val="24"/>
        </w:rPr>
        <w:t xml:space="preserve">Bu talimatın amacı; </w:t>
      </w:r>
      <w:r w:rsidRPr="000E3E7A">
        <w:rPr>
          <w:b/>
          <w:sz w:val="24"/>
          <w:szCs w:val="24"/>
        </w:rPr>
        <w:t>KARATAY VİLAYETLERE HİZMET GÖTÜRME BİRLİĞİ ANAOKULU</w:t>
      </w:r>
      <w:r w:rsidRPr="000E3E7A">
        <w:rPr>
          <w:sz w:val="24"/>
          <w:szCs w:val="24"/>
        </w:rPr>
        <w:t>’</w:t>
      </w:r>
      <w:r w:rsidRPr="000E3E7A">
        <w:rPr>
          <w:sz w:val="24"/>
          <w:szCs w:val="24"/>
        </w:rPr>
        <w:t xml:space="preserve"> </w:t>
      </w:r>
      <w:proofErr w:type="spellStart"/>
      <w:r w:rsidRPr="000E3E7A">
        <w:rPr>
          <w:sz w:val="24"/>
          <w:szCs w:val="24"/>
        </w:rPr>
        <w:t>nda</w:t>
      </w:r>
      <w:proofErr w:type="spellEnd"/>
      <w:r w:rsidRPr="000E3E7A">
        <w:rPr>
          <w:sz w:val="24"/>
          <w:szCs w:val="24"/>
        </w:rPr>
        <w:t xml:space="preserve"> </w:t>
      </w:r>
      <w:r w:rsidRPr="000E3E7A">
        <w:rPr>
          <w:bCs/>
          <w:sz w:val="24"/>
          <w:szCs w:val="24"/>
        </w:rPr>
        <w:t xml:space="preserve">çevreye zarar vermeden kimyasal malzemelerin kullanım ve depolama esaslarını belirlemektir </w:t>
      </w:r>
    </w:p>
    <w:p w:rsidR="00A47C38" w:rsidRPr="000E3E7A" w:rsidRDefault="00A47C38" w:rsidP="00A47C38">
      <w:pPr>
        <w:ind w:left="-142"/>
        <w:jc w:val="both"/>
        <w:rPr>
          <w:bCs/>
          <w:sz w:val="24"/>
          <w:szCs w:val="24"/>
        </w:rPr>
      </w:pPr>
    </w:p>
    <w:p w:rsidR="00A47C38" w:rsidRPr="000E3E7A" w:rsidRDefault="00A47C38" w:rsidP="00A47C38">
      <w:pPr>
        <w:ind w:left="-142"/>
        <w:jc w:val="both"/>
        <w:rPr>
          <w:b/>
          <w:sz w:val="24"/>
          <w:szCs w:val="24"/>
        </w:rPr>
      </w:pPr>
      <w:r w:rsidRPr="000E3E7A">
        <w:rPr>
          <w:b/>
          <w:sz w:val="24"/>
          <w:szCs w:val="24"/>
        </w:rPr>
        <w:t>2. SORUMLULUK VE YETKİLER</w:t>
      </w:r>
    </w:p>
    <w:p w:rsidR="00A47C38" w:rsidRPr="000E3E7A" w:rsidRDefault="00A47C38" w:rsidP="00A47C38">
      <w:pPr>
        <w:ind w:left="-142"/>
        <w:jc w:val="both"/>
        <w:rPr>
          <w:sz w:val="24"/>
          <w:szCs w:val="24"/>
        </w:rPr>
      </w:pPr>
      <w:r w:rsidRPr="000E3E7A">
        <w:rPr>
          <w:sz w:val="24"/>
          <w:szCs w:val="24"/>
        </w:rPr>
        <w:t xml:space="preserve">Bu talimatın uygulanmasından Çevre Yönetim Temsilcisi başta olmak üzere tüm çalışanlar sorumludur. </w:t>
      </w:r>
    </w:p>
    <w:p w:rsidR="00A47C38" w:rsidRPr="000E3E7A" w:rsidRDefault="00A47C38" w:rsidP="00A47C38">
      <w:pPr>
        <w:ind w:left="-142"/>
        <w:jc w:val="both"/>
        <w:rPr>
          <w:sz w:val="24"/>
          <w:szCs w:val="24"/>
        </w:rPr>
      </w:pPr>
    </w:p>
    <w:p w:rsidR="00A47C38" w:rsidRPr="000E3E7A" w:rsidRDefault="00A47C38" w:rsidP="00A47C38">
      <w:pPr>
        <w:ind w:left="-142"/>
        <w:jc w:val="both"/>
        <w:rPr>
          <w:b/>
          <w:sz w:val="24"/>
          <w:szCs w:val="24"/>
        </w:rPr>
      </w:pPr>
      <w:r w:rsidRPr="000E3E7A">
        <w:rPr>
          <w:b/>
          <w:sz w:val="24"/>
          <w:szCs w:val="24"/>
        </w:rPr>
        <w:t>3. UYGULAMA</w:t>
      </w:r>
    </w:p>
    <w:p w:rsidR="00A47C38" w:rsidRPr="000E3E7A" w:rsidRDefault="00A47C38" w:rsidP="00A47C38">
      <w:pPr>
        <w:numPr>
          <w:ilvl w:val="1"/>
          <w:numId w:val="1"/>
        </w:numPr>
        <w:suppressAutoHyphens/>
        <w:spacing w:line="360" w:lineRule="auto"/>
        <w:ind w:left="426" w:hanging="426"/>
        <w:contextualSpacing/>
        <w:jc w:val="both"/>
        <w:rPr>
          <w:rFonts w:eastAsia="Calibri"/>
          <w:b/>
          <w:bCs/>
          <w:sz w:val="24"/>
          <w:szCs w:val="24"/>
        </w:rPr>
      </w:pPr>
      <w:r w:rsidRPr="000E3E7A">
        <w:rPr>
          <w:rFonts w:eastAsia="Calibri"/>
          <w:bCs/>
          <w:sz w:val="24"/>
          <w:szCs w:val="24"/>
        </w:rPr>
        <w:t xml:space="preserve"> Bütün kimyasallar belirlenmiş depolama alanlarında sert zemin üzerinde, etiketlenerek ayrı ayrı depolanır. </w:t>
      </w:r>
    </w:p>
    <w:p w:rsidR="00A47C38" w:rsidRPr="000E3E7A" w:rsidRDefault="00A47C38" w:rsidP="00A47C38">
      <w:pPr>
        <w:numPr>
          <w:ilvl w:val="1"/>
          <w:numId w:val="1"/>
        </w:numPr>
        <w:suppressAutoHyphens/>
        <w:spacing w:line="360" w:lineRule="auto"/>
        <w:ind w:left="426" w:hanging="426"/>
        <w:contextualSpacing/>
        <w:jc w:val="both"/>
        <w:rPr>
          <w:rFonts w:eastAsia="Calibri"/>
          <w:bCs/>
          <w:sz w:val="24"/>
          <w:szCs w:val="24"/>
        </w:rPr>
      </w:pPr>
      <w:r w:rsidRPr="000E3E7A">
        <w:rPr>
          <w:rFonts w:eastAsia="Calibri"/>
          <w:bCs/>
          <w:sz w:val="24"/>
          <w:szCs w:val="24"/>
        </w:rPr>
        <w:t xml:space="preserve"> Patlayıcılar, yağlar, petrol</w:t>
      </w:r>
      <w:bookmarkStart w:id="0" w:name="_GoBack"/>
      <w:bookmarkEnd w:id="0"/>
      <w:r w:rsidRPr="000E3E7A">
        <w:rPr>
          <w:rFonts w:eastAsia="Calibri"/>
          <w:bCs/>
          <w:sz w:val="24"/>
          <w:szCs w:val="24"/>
        </w:rPr>
        <w:t xml:space="preserve"> ürünleri, çözücüler, indirgeyiciler, gibi potansiyel tehlikeli maddeler için yangın, döküntü/sızıntıya karşı özel önlemler belirlenir.</w:t>
      </w:r>
    </w:p>
    <w:p w:rsidR="00A47C38" w:rsidRPr="000E3E7A" w:rsidRDefault="00A47C38" w:rsidP="00A47C38">
      <w:pPr>
        <w:numPr>
          <w:ilvl w:val="1"/>
          <w:numId w:val="1"/>
        </w:numPr>
        <w:suppressAutoHyphens/>
        <w:spacing w:line="360" w:lineRule="auto"/>
        <w:ind w:left="426" w:hanging="426"/>
        <w:contextualSpacing/>
        <w:jc w:val="both"/>
        <w:rPr>
          <w:rFonts w:eastAsia="Calibri"/>
          <w:bCs/>
          <w:sz w:val="24"/>
          <w:szCs w:val="24"/>
        </w:rPr>
      </w:pPr>
      <w:r w:rsidRPr="000E3E7A">
        <w:rPr>
          <w:rFonts w:eastAsia="Calibri"/>
          <w:bCs/>
          <w:sz w:val="24"/>
          <w:szCs w:val="24"/>
        </w:rPr>
        <w:t xml:space="preserve"> Kullanılacak ve depolanacak olan kimyasal malzemeler için Malzeme Güvenlik Formlarında belirtilen güvenlik ve emniyet önlemlerinin alınması sağlanır. </w:t>
      </w:r>
    </w:p>
    <w:p w:rsidR="00A47C38" w:rsidRPr="000E3E7A" w:rsidRDefault="00A47C38" w:rsidP="00A47C38">
      <w:pPr>
        <w:numPr>
          <w:ilvl w:val="1"/>
          <w:numId w:val="1"/>
        </w:numPr>
        <w:suppressAutoHyphens/>
        <w:spacing w:line="360" w:lineRule="auto"/>
        <w:ind w:left="426" w:hanging="426"/>
        <w:contextualSpacing/>
        <w:jc w:val="both"/>
        <w:rPr>
          <w:rFonts w:eastAsia="Calibri"/>
          <w:bCs/>
          <w:sz w:val="24"/>
          <w:szCs w:val="24"/>
        </w:rPr>
      </w:pPr>
      <w:r w:rsidRPr="000E3E7A">
        <w:rPr>
          <w:rFonts w:eastAsia="Calibri"/>
          <w:bCs/>
          <w:sz w:val="24"/>
          <w:szCs w:val="24"/>
        </w:rPr>
        <w:t>Çalışmaların yürütüldüğü alanlarda, kimyasal madde dökülmesi durumunda müdahale etmek üzere gerekli emici madde hazır tutulur. Herhangi bir dökülme durumunda kimyasal maddeyle kirlenmiş alan kum veya ticari olarak satılan diğer emicilerle kaplanır.</w:t>
      </w:r>
    </w:p>
    <w:p w:rsidR="00A47C38" w:rsidRPr="000E3E7A" w:rsidRDefault="00A47C38" w:rsidP="00A47C38">
      <w:pPr>
        <w:numPr>
          <w:ilvl w:val="1"/>
          <w:numId w:val="1"/>
        </w:numPr>
        <w:suppressAutoHyphens/>
        <w:spacing w:line="360" w:lineRule="auto"/>
        <w:ind w:left="426" w:hanging="426"/>
        <w:contextualSpacing/>
        <w:jc w:val="both"/>
        <w:rPr>
          <w:rFonts w:eastAsia="Calibri"/>
          <w:bCs/>
          <w:sz w:val="24"/>
          <w:szCs w:val="24"/>
        </w:rPr>
      </w:pPr>
      <w:r w:rsidRPr="000E3E7A">
        <w:rPr>
          <w:rFonts w:eastAsia="Calibri"/>
          <w:bCs/>
          <w:sz w:val="24"/>
          <w:szCs w:val="24"/>
        </w:rPr>
        <w:t xml:space="preserve"> Boya, yağ, deterjan, sabunlar kapakları sıkıca kapatılmış olan kendi ambalajlarında ya da bidonlarda saklanır ve dış hava etkilerinden korunur. Güvenlik ve yangından korunma önlemlerine sıkı bir şekilde uyulur.</w:t>
      </w:r>
    </w:p>
    <w:p w:rsidR="00A47C38" w:rsidRPr="000E3E7A" w:rsidRDefault="00A47C38" w:rsidP="00A47C38">
      <w:pPr>
        <w:numPr>
          <w:ilvl w:val="1"/>
          <w:numId w:val="1"/>
        </w:numPr>
        <w:suppressAutoHyphens/>
        <w:spacing w:line="360" w:lineRule="auto"/>
        <w:ind w:left="426" w:hanging="426"/>
        <w:contextualSpacing/>
        <w:jc w:val="both"/>
        <w:rPr>
          <w:rFonts w:eastAsia="Calibri"/>
          <w:bCs/>
          <w:sz w:val="24"/>
          <w:szCs w:val="24"/>
        </w:rPr>
      </w:pPr>
      <w:r w:rsidRPr="000E3E7A">
        <w:rPr>
          <w:rFonts w:eastAsia="Calibri"/>
          <w:bCs/>
          <w:sz w:val="24"/>
          <w:szCs w:val="24"/>
        </w:rPr>
        <w:t xml:space="preserve">Tehlikeli ve zararlı kimyasal maddelerin depolandığı yerlerde sigara içilmesine, kontrolsüz açık alev veya ateş yakılmasına izin verilmez. </w:t>
      </w:r>
    </w:p>
    <w:p w:rsidR="00A47C38" w:rsidRPr="000E3E7A" w:rsidRDefault="00A47C38" w:rsidP="00A47C38">
      <w:pPr>
        <w:numPr>
          <w:ilvl w:val="1"/>
          <w:numId w:val="1"/>
        </w:numPr>
        <w:suppressAutoHyphens/>
        <w:spacing w:line="360" w:lineRule="auto"/>
        <w:ind w:left="426" w:hanging="426"/>
        <w:contextualSpacing/>
        <w:jc w:val="both"/>
        <w:rPr>
          <w:rFonts w:eastAsia="Calibri"/>
          <w:bCs/>
          <w:sz w:val="24"/>
          <w:szCs w:val="24"/>
        </w:rPr>
      </w:pPr>
      <w:r w:rsidRPr="000E3E7A">
        <w:rPr>
          <w:rFonts w:eastAsia="Calibri"/>
          <w:bCs/>
          <w:sz w:val="24"/>
          <w:szCs w:val="24"/>
        </w:rPr>
        <w:t>Eğitilmiş, ilgili kişiler dışında kalan tüm çalışanlar bu maddelerin depolandığı alanlardan izin almadan bu malzemelerden kullanamazlar.</w:t>
      </w:r>
    </w:p>
    <w:p w:rsidR="00A47C38" w:rsidRPr="000E3E7A" w:rsidRDefault="00A47C38" w:rsidP="00A47C38">
      <w:pPr>
        <w:numPr>
          <w:ilvl w:val="1"/>
          <w:numId w:val="1"/>
        </w:numPr>
        <w:suppressAutoHyphens/>
        <w:spacing w:line="360" w:lineRule="auto"/>
        <w:ind w:left="426" w:hanging="426"/>
        <w:contextualSpacing/>
        <w:jc w:val="both"/>
        <w:rPr>
          <w:rFonts w:eastAsia="Calibri"/>
          <w:bCs/>
          <w:sz w:val="24"/>
          <w:szCs w:val="24"/>
        </w:rPr>
      </w:pPr>
      <w:r w:rsidRPr="000E3E7A">
        <w:rPr>
          <w:bCs/>
          <w:sz w:val="24"/>
          <w:szCs w:val="24"/>
        </w:rPr>
        <w:t xml:space="preserve"> Kimyasal malzemeler dikey olarak depolanmalı ve kapağı yukarı gelecek şekilde bulundurulmalıdır.</w:t>
      </w:r>
    </w:p>
    <w:p w:rsidR="00A47C38" w:rsidRPr="000E3E7A" w:rsidRDefault="00A47C38" w:rsidP="00A47C38">
      <w:pPr>
        <w:suppressAutoHyphens/>
        <w:spacing w:line="360" w:lineRule="auto"/>
        <w:ind w:left="-142"/>
        <w:contextualSpacing/>
        <w:jc w:val="both"/>
        <w:rPr>
          <w:rFonts w:eastAsia="Calibri"/>
          <w:bCs/>
          <w:sz w:val="24"/>
          <w:szCs w:val="24"/>
        </w:rPr>
      </w:pPr>
    </w:p>
    <w:p w:rsidR="00A47C38" w:rsidRPr="000E3E7A" w:rsidRDefault="00A47C38" w:rsidP="00A47C38">
      <w:pPr>
        <w:ind w:left="-142"/>
        <w:jc w:val="both"/>
        <w:rPr>
          <w:b/>
          <w:sz w:val="24"/>
          <w:szCs w:val="24"/>
        </w:rPr>
      </w:pPr>
      <w:r w:rsidRPr="000E3E7A">
        <w:rPr>
          <w:b/>
          <w:sz w:val="24"/>
          <w:szCs w:val="24"/>
        </w:rPr>
        <w:t>4. KALİTE KAYITLARI</w:t>
      </w:r>
    </w:p>
    <w:p w:rsidR="00A47C38" w:rsidRPr="000E3E7A" w:rsidRDefault="00A47C38" w:rsidP="00A47C38">
      <w:pPr>
        <w:ind w:left="-142"/>
        <w:jc w:val="both"/>
        <w:rPr>
          <w:sz w:val="24"/>
          <w:szCs w:val="24"/>
        </w:rPr>
      </w:pPr>
      <w:r w:rsidRPr="000E3E7A">
        <w:rPr>
          <w:b/>
          <w:sz w:val="24"/>
          <w:szCs w:val="24"/>
        </w:rPr>
        <w:t>4.1.</w:t>
      </w:r>
      <w:r w:rsidRPr="000E3E7A">
        <w:rPr>
          <w:sz w:val="24"/>
          <w:szCs w:val="24"/>
        </w:rPr>
        <w:t xml:space="preserve"> </w:t>
      </w:r>
      <w:hyperlink r:id="rId9" w:history="1">
        <w:r w:rsidRPr="000E3E7A">
          <w:rPr>
            <w:rStyle w:val="Kpr"/>
            <w:sz w:val="24"/>
            <w:szCs w:val="24"/>
          </w:rPr>
          <w:t>06.07.FR.27 Atık Beyan Formu</w:t>
        </w:r>
      </w:hyperlink>
    </w:p>
    <w:p w:rsidR="00646A1B" w:rsidRDefault="00646A1B"/>
    <w:sectPr w:rsidR="00646A1B" w:rsidSect="00C22145">
      <w:headerReference w:type="default" r:id="rId10"/>
      <w:footerReference w:type="default" r:id="rId11"/>
      <w:pgSz w:w="11906" w:h="16838"/>
      <w:pgMar w:top="527" w:right="1134" w:bottom="851" w:left="1134" w:header="567" w:footer="255"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C02" w:rsidRDefault="00881C02" w:rsidP="008321B6">
      <w:r>
        <w:separator/>
      </w:r>
    </w:p>
  </w:endnote>
  <w:endnote w:type="continuationSeparator" w:id="0">
    <w:p w:rsidR="00881C02" w:rsidRDefault="00881C02" w:rsidP="0083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525" w:type="dxa"/>
      <w:tblInd w:w="-318" w:type="dxa"/>
      <w:tblLook w:val="04A0" w:firstRow="1" w:lastRow="0" w:firstColumn="1" w:lastColumn="0" w:noHBand="0" w:noVBand="1"/>
    </w:tblPr>
    <w:tblGrid>
      <w:gridCol w:w="3615"/>
      <w:gridCol w:w="3615"/>
      <w:gridCol w:w="3295"/>
    </w:tblGrid>
    <w:tr w:rsidR="008321B6" w:rsidTr="00C22145">
      <w:trPr>
        <w:trHeight w:val="841"/>
      </w:trPr>
      <w:tc>
        <w:tcPr>
          <w:tcW w:w="3615" w:type="dxa"/>
          <w:vAlign w:val="center"/>
        </w:tcPr>
        <w:p w:rsidR="00D72B18" w:rsidRPr="00C17D1A" w:rsidRDefault="00D72B18" w:rsidP="00D72B18">
          <w:pPr>
            <w:pStyle w:val="Balk2"/>
            <w:outlineLvl w:val="1"/>
            <w:rPr>
              <w:rFonts w:asciiTheme="majorBidi" w:hAnsiTheme="majorBidi" w:cstheme="majorBidi"/>
            </w:rPr>
          </w:pPr>
          <w:r w:rsidRPr="00C17D1A">
            <w:rPr>
              <w:rFonts w:asciiTheme="majorBidi" w:hAnsiTheme="majorBidi" w:cstheme="majorBidi"/>
            </w:rPr>
            <w:t>HAZIRLAYAN</w:t>
          </w:r>
        </w:p>
        <w:p w:rsidR="00D72B18" w:rsidRPr="00C17D1A" w:rsidRDefault="00D72B18" w:rsidP="00D72B18">
          <w:pPr>
            <w:jc w:val="center"/>
            <w:rPr>
              <w:rFonts w:asciiTheme="majorBidi" w:hAnsiTheme="majorBidi" w:cstheme="majorBidi"/>
            </w:rPr>
          </w:pPr>
        </w:p>
        <w:p w:rsidR="008321B6" w:rsidRPr="00C17D1A" w:rsidRDefault="00C17D1A" w:rsidP="00D72B18">
          <w:pPr>
            <w:pStyle w:val="GvdeMetni2"/>
            <w:rPr>
              <w:rFonts w:asciiTheme="majorBidi" w:hAnsiTheme="majorBidi" w:cstheme="majorBidi"/>
            </w:rPr>
          </w:pPr>
          <w:r w:rsidRPr="00C17D1A">
            <w:rPr>
              <w:rFonts w:asciiTheme="majorBidi" w:hAnsiTheme="majorBidi" w:cstheme="majorBidi"/>
            </w:rPr>
            <w:t>Yönetim Temsilcisi</w:t>
          </w:r>
        </w:p>
      </w:tc>
      <w:tc>
        <w:tcPr>
          <w:tcW w:w="3615" w:type="dxa"/>
          <w:vAlign w:val="center"/>
        </w:tcPr>
        <w:p w:rsidR="00D72B18" w:rsidRPr="00C17D1A" w:rsidRDefault="00D72B18" w:rsidP="00D72B18">
          <w:pPr>
            <w:pStyle w:val="Balk2"/>
            <w:outlineLvl w:val="1"/>
            <w:rPr>
              <w:rFonts w:asciiTheme="majorBidi" w:hAnsiTheme="majorBidi" w:cstheme="majorBidi"/>
            </w:rPr>
          </w:pPr>
          <w:r w:rsidRPr="00C17D1A">
            <w:rPr>
              <w:rFonts w:asciiTheme="majorBidi" w:hAnsiTheme="majorBidi" w:cstheme="majorBidi"/>
            </w:rPr>
            <w:t>ONAYLAYAN</w:t>
          </w:r>
        </w:p>
        <w:p w:rsidR="00D72B18" w:rsidRPr="00C17D1A" w:rsidRDefault="00D72B18" w:rsidP="00D72B18">
          <w:pPr>
            <w:jc w:val="center"/>
            <w:rPr>
              <w:rFonts w:asciiTheme="majorBidi" w:hAnsiTheme="majorBidi" w:cstheme="majorBidi"/>
            </w:rPr>
          </w:pPr>
        </w:p>
        <w:p w:rsidR="008321B6" w:rsidRPr="00C17D1A" w:rsidRDefault="00C17D1A" w:rsidP="00D72B18">
          <w:pPr>
            <w:jc w:val="center"/>
            <w:rPr>
              <w:rFonts w:asciiTheme="majorBidi" w:hAnsiTheme="majorBidi" w:cstheme="majorBidi"/>
              <w:b/>
              <w:sz w:val="24"/>
            </w:rPr>
          </w:pPr>
          <w:r w:rsidRPr="00C17D1A">
            <w:rPr>
              <w:rFonts w:asciiTheme="majorBidi" w:hAnsiTheme="majorBidi" w:cstheme="majorBidi"/>
              <w:b/>
              <w:sz w:val="24"/>
            </w:rPr>
            <w:t>Okul Müdürü</w:t>
          </w:r>
        </w:p>
      </w:tc>
      <w:tc>
        <w:tcPr>
          <w:tcW w:w="3295" w:type="dxa"/>
        </w:tcPr>
        <w:p w:rsidR="00D72B18" w:rsidRPr="00C17D1A" w:rsidRDefault="00D72B18" w:rsidP="00D72B18">
          <w:pPr>
            <w:jc w:val="center"/>
            <w:rPr>
              <w:rFonts w:asciiTheme="majorBidi" w:hAnsiTheme="majorBidi" w:cstheme="majorBidi"/>
              <w:b/>
              <w:sz w:val="24"/>
            </w:rPr>
          </w:pPr>
        </w:p>
        <w:p w:rsidR="00D72B18" w:rsidRPr="00C17D1A" w:rsidRDefault="00D72B18" w:rsidP="00D72B18">
          <w:pPr>
            <w:jc w:val="center"/>
            <w:rPr>
              <w:rFonts w:asciiTheme="majorBidi" w:hAnsiTheme="majorBidi" w:cstheme="majorBidi"/>
              <w:b/>
              <w:sz w:val="24"/>
            </w:rPr>
          </w:pPr>
          <w:r w:rsidRPr="00C17D1A">
            <w:rPr>
              <w:rFonts w:asciiTheme="majorBidi" w:hAnsiTheme="majorBidi" w:cstheme="majorBidi"/>
              <w:b/>
              <w:sz w:val="24"/>
            </w:rPr>
            <w:t>KAŞE</w:t>
          </w:r>
        </w:p>
        <w:p w:rsidR="008321B6" w:rsidRPr="00C17D1A" w:rsidRDefault="008321B6">
          <w:pPr>
            <w:pStyle w:val="Altbilgi"/>
            <w:rPr>
              <w:rFonts w:asciiTheme="majorBidi" w:hAnsiTheme="majorBidi" w:cstheme="majorBidi"/>
            </w:rPr>
          </w:pPr>
        </w:p>
      </w:tc>
    </w:tr>
  </w:tbl>
  <w:p w:rsidR="008321B6" w:rsidRDefault="008321B6" w:rsidP="008321B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C02" w:rsidRDefault="00881C02" w:rsidP="008321B6">
      <w:r>
        <w:separator/>
      </w:r>
    </w:p>
  </w:footnote>
  <w:footnote w:type="continuationSeparator" w:id="0">
    <w:p w:rsidR="00881C02" w:rsidRDefault="00881C02" w:rsidP="00832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491" w:type="dxa"/>
      <w:tblInd w:w="-318" w:type="dxa"/>
      <w:tblLook w:val="04A0" w:firstRow="1" w:lastRow="0" w:firstColumn="1" w:lastColumn="0" w:noHBand="0" w:noVBand="1"/>
    </w:tblPr>
    <w:tblGrid>
      <w:gridCol w:w="1681"/>
      <w:gridCol w:w="6116"/>
      <w:gridCol w:w="1418"/>
      <w:gridCol w:w="1276"/>
    </w:tblGrid>
    <w:tr w:rsidR="00D72B18" w:rsidTr="00744A9F">
      <w:trPr>
        <w:trHeight w:val="328"/>
      </w:trPr>
      <w:tc>
        <w:tcPr>
          <w:tcW w:w="1681" w:type="dxa"/>
          <w:vMerge w:val="restart"/>
        </w:tcPr>
        <w:p w:rsidR="00D72B18" w:rsidRDefault="00D72B18">
          <w:pPr>
            <w:pStyle w:val="stbilgi"/>
          </w:pPr>
          <w:r>
            <w:rPr>
              <w:noProof/>
            </w:rPr>
            <w:drawing>
              <wp:anchor distT="0" distB="0" distL="114300" distR="114300" simplePos="0" relativeHeight="251658240" behindDoc="0" locked="0" layoutInCell="1" allowOverlap="1" wp14:anchorId="35E35DC4" wp14:editId="6E90FB72">
                <wp:simplePos x="0" y="0"/>
                <wp:positionH relativeFrom="column">
                  <wp:posOffset>-18888</wp:posOffset>
                </wp:positionH>
                <wp:positionV relativeFrom="paragraph">
                  <wp:posOffset>58420</wp:posOffset>
                </wp:positionV>
                <wp:extent cx="978195" cy="965325"/>
                <wp:effectExtent l="0" t="0" r="0" b="635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195" cy="965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16" w:type="dxa"/>
          <w:vMerge w:val="restart"/>
        </w:tcPr>
        <w:p w:rsidR="00D72B18" w:rsidRPr="00C17D1A" w:rsidRDefault="00D72B18" w:rsidP="00D72B18">
          <w:pPr>
            <w:pStyle w:val="stbilgi"/>
            <w:tabs>
              <w:tab w:val="clear" w:pos="4536"/>
              <w:tab w:val="clear" w:pos="9072"/>
            </w:tabs>
            <w:ind w:left="-142" w:right="-113"/>
            <w:jc w:val="center"/>
            <w:rPr>
              <w:rFonts w:asciiTheme="majorBidi" w:hAnsiTheme="majorBidi" w:cstheme="majorBidi"/>
              <w:b/>
              <w:sz w:val="24"/>
            </w:rPr>
          </w:pPr>
          <w:r w:rsidRPr="00C17D1A">
            <w:rPr>
              <w:rFonts w:asciiTheme="majorBidi" w:hAnsiTheme="majorBidi" w:cstheme="majorBidi"/>
              <w:b/>
              <w:sz w:val="24"/>
            </w:rPr>
            <w:t xml:space="preserve">T.C. </w:t>
          </w:r>
        </w:p>
        <w:p w:rsidR="00D72B18" w:rsidRPr="00C17D1A" w:rsidRDefault="00D72B18" w:rsidP="00D72B18">
          <w:pPr>
            <w:pStyle w:val="stbilgi"/>
            <w:tabs>
              <w:tab w:val="clear" w:pos="4536"/>
              <w:tab w:val="clear" w:pos="9072"/>
            </w:tabs>
            <w:ind w:left="-142" w:right="-113"/>
            <w:jc w:val="center"/>
            <w:rPr>
              <w:rFonts w:asciiTheme="majorBidi" w:hAnsiTheme="majorBidi" w:cstheme="majorBidi"/>
              <w:b/>
              <w:sz w:val="24"/>
            </w:rPr>
          </w:pPr>
          <w:r w:rsidRPr="00C17D1A">
            <w:rPr>
              <w:rFonts w:asciiTheme="majorBidi" w:hAnsiTheme="majorBidi" w:cstheme="majorBidi"/>
              <w:b/>
              <w:sz w:val="24"/>
            </w:rPr>
            <w:t>KARATAY KAYMAKAMLIĞI</w:t>
          </w:r>
        </w:p>
        <w:p w:rsidR="00D72B18" w:rsidRPr="00C17D1A" w:rsidRDefault="00D72B18" w:rsidP="00D72B18">
          <w:pPr>
            <w:pStyle w:val="stbilgi"/>
            <w:tabs>
              <w:tab w:val="clear" w:pos="4536"/>
              <w:tab w:val="clear" w:pos="9072"/>
            </w:tabs>
            <w:ind w:left="-142" w:right="-113"/>
            <w:jc w:val="center"/>
            <w:rPr>
              <w:rFonts w:asciiTheme="majorBidi" w:hAnsiTheme="majorBidi" w:cstheme="majorBidi"/>
              <w:b/>
              <w:sz w:val="12"/>
            </w:rPr>
          </w:pPr>
        </w:p>
        <w:p w:rsidR="00D72B18" w:rsidRPr="00D72B18" w:rsidRDefault="00D72B18" w:rsidP="00D72B18">
          <w:pPr>
            <w:pStyle w:val="stbilgi"/>
            <w:tabs>
              <w:tab w:val="clear" w:pos="4536"/>
              <w:tab w:val="clear" w:pos="9072"/>
            </w:tabs>
            <w:ind w:left="-142" w:right="-113"/>
            <w:jc w:val="center"/>
            <w:rPr>
              <w:rFonts w:ascii="Arial" w:hAnsi="Arial"/>
              <w:b/>
            </w:rPr>
          </w:pPr>
          <w:r w:rsidRPr="00C17D1A">
            <w:rPr>
              <w:rFonts w:asciiTheme="majorBidi" w:hAnsiTheme="majorBidi" w:cstheme="majorBidi"/>
              <w:b/>
            </w:rPr>
            <w:t>Karatay Vilayetlere Hizmet Götürme Birliği Anaokulu</w:t>
          </w:r>
        </w:p>
      </w:tc>
      <w:tc>
        <w:tcPr>
          <w:tcW w:w="1418" w:type="dxa"/>
          <w:vAlign w:val="center"/>
        </w:tcPr>
        <w:p w:rsidR="00D72B18" w:rsidRPr="00C17D1A" w:rsidRDefault="00D72B18" w:rsidP="00C17D1A">
          <w:pPr>
            <w:pStyle w:val="stbilgi"/>
            <w:rPr>
              <w:rFonts w:asciiTheme="majorBidi" w:hAnsiTheme="majorBidi" w:cstheme="majorBidi"/>
            </w:rPr>
          </w:pPr>
          <w:r w:rsidRPr="00C17D1A">
            <w:rPr>
              <w:rFonts w:asciiTheme="majorBidi" w:hAnsiTheme="majorBidi" w:cstheme="majorBidi"/>
            </w:rPr>
            <w:t>Doküman No</w:t>
          </w:r>
        </w:p>
      </w:tc>
      <w:tc>
        <w:tcPr>
          <w:tcW w:w="1276" w:type="dxa"/>
          <w:vAlign w:val="center"/>
        </w:tcPr>
        <w:p w:rsidR="00D72B18" w:rsidRPr="00C17D1A" w:rsidRDefault="00A47C38" w:rsidP="00C17D1A">
          <w:pPr>
            <w:pStyle w:val="stbilgi"/>
            <w:rPr>
              <w:rFonts w:asciiTheme="majorBidi" w:hAnsiTheme="majorBidi" w:cstheme="majorBidi"/>
            </w:rPr>
          </w:pPr>
          <w:r w:rsidRPr="00A47C38">
            <w:rPr>
              <w:rFonts w:asciiTheme="majorBidi" w:hAnsiTheme="majorBidi" w:cstheme="majorBidi"/>
            </w:rPr>
            <w:t>06.07.TL.11</w:t>
          </w:r>
        </w:p>
      </w:tc>
    </w:tr>
    <w:tr w:rsidR="00D72B18" w:rsidTr="00744A9F">
      <w:trPr>
        <w:trHeight w:val="328"/>
      </w:trPr>
      <w:tc>
        <w:tcPr>
          <w:tcW w:w="1681" w:type="dxa"/>
          <w:vMerge/>
        </w:tcPr>
        <w:p w:rsidR="00D72B18" w:rsidRDefault="00D72B18">
          <w:pPr>
            <w:pStyle w:val="stbilgi"/>
          </w:pPr>
        </w:p>
      </w:tc>
      <w:tc>
        <w:tcPr>
          <w:tcW w:w="6116" w:type="dxa"/>
          <w:vMerge/>
        </w:tcPr>
        <w:p w:rsidR="00D72B18" w:rsidRDefault="00D72B18">
          <w:pPr>
            <w:pStyle w:val="stbilgi"/>
          </w:pPr>
        </w:p>
      </w:tc>
      <w:tc>
        <w:tcPr>
          <w:tcW w:w="1418" w:type="dxa"/>
          <w:vAlign w:val="center"/>
        </w:tcPr>
        <w:p w:rsidR="00D72B18" w:rsidRPr="00C17D1A" w:rsidRDefault="00D72B18" w:rsidP="00C17D1A">
          <w:pPr>
            <w:pStyle w:val="stbilgi"/>
            <w:rPr>
              <w:rFonts w:asciiTheme="majorBidi" w:hAnsiTheme="majorBidi" w:cstheme="majorBidi"/>
            </w:rPr>
          </w:pPr>
          <w:r w:rsidRPr="00C17D1A">
            <w:rPr>
              <w:rFonts w:asciiTheme="majorBidi" w:hAnsiTheme="majorBidi" w:cstheme="majorBidi"/>
            </w:rPr>
            <w:t>Revizyon No</w:t>
          </w:r>
        </w:p>
      </w:tc>
      <w:tc>
        <w:tcPr>
          <w:tcW w:w="1276" w:type="dxa"/>
          <w:vAlign w:val="center"/>
        </w:tcPr>
        <w:p w:rsidR="00D72B18" w:rsidRPr="00C17D1A" w:rsidRDefault="00D72B18" w:rsidP="00C17D1A">
          <w:pPr>
            <w:pStyle w:val="stbilgi"/>
            <w:rPr>
              <w:rFonts w:asciiTheme="majorBidi" w:hAnsiTheme="majorBidi" w:cstheme="majorBidi"/>
            </w:rPr>
          </w:pPr>
          <w:r w:rsidRPr="00C17D1A">
            <w:rPr>
              <w:rFonts w:asciiTheme="majorBidi" w:hAnsiTheme="majorBidi" w:cstheme="majorBidi"/>
            </w:rPr>
            <w:t>00</w:t>
          </w:r>
        </w:p>
      </w:tc>
    </w:tr>
    <w:tr w:rsidR="00D72B18" w:rsidTr="00744A9F">
      <w:trPr>
        <w:trHeight w:val="328"/>
      </w:trPr>
      <w:tc>
        <w:tcPr>
          <w:tcW w:w="1681" w:type="dxa"/>
          <w:vMerge/>
        </w:tcPr>
        <w:p w:rsidR="00D72B18" w:rsidRDefault="00D72B18">
          <w:pPr>
            <w:pStyle w:val="stbilgi"/>
          </w:pPr>
        </w:p>
      </w:tc>
      <w:tc>
        <w:tcPr>
          <w:tcW w:w="6116" w:type="dxa"/>
          <w:vMerge/>
        </w:tcPr>
        <w:p w:rsidR="00D72B18" w:rsidRDefault="00D72B18">
          <w:pPr>
            <w:pStyle w:val="stbilgi"/>
          </w:pPr>
        </w:p>
      </w:tc>
      <w:tc>
        <w:tcPr>
          <w:tcW w:w="1418" w:type="dxa"/>
          <w:vAlign w:val="center"/>
        </w:tcPr>
        <w:p w:rsidR="00D72B18" w:rsidRPr="00C17D1A" w:rsidRDefault="00D72B18" w:rsidP="00C17D1A">
          <w:pPr>
            <w:pStyle w:val="stbilgi"/>
            <w:rPr>
              <w:rFonts w:asciiTheme="majorBidi" w:hAnsiTheme="majorBidi" w:cstheme="majorBidi"/>
            </w:rPr>
          </w:pPr>
          <w:r w:rsidRPr="00C17D1A">
            <w:rPr>
              <w:rFonts w:asciiTheme="majorBidi" w:hAnsiTheme="majorBidi" w:cstheme="majorBidi"/>
            </w:rPr>
            <w:t>Yayın Tarihi</w:t>
          </w:r>
        </w:p>
      </w:tc>
      <w:tc>
        <w:tcPr>
          <w:tcW w:w="1276" w:type="dxa"/>
          <w:vAlign w:val="center"/>
        </w:tcPr>
        <w:p w:rsidR="00D72B18" w:rsidRPr="00C17D1A" w:rsidRDefault="00D72B18" w:rsidP="00C17D1A">
          <w:pPr>
            <w:pStyle w:val="stbilgi"/>
            <w:rPr>
              <w:rFonts w:asciiTheme="majorBidi" w:hAnsiTheme="majorBidi" w:cstheme="majorBidi"/>
            </w:rPr>
          </w:pPr>
          <w:r w:rsidRPr="00C17D1A">
            <w:rPr>
              <w:rFonts w:asciiTheme="majorBidi" w:hAnsiTheme="majorBidi" w:cstheme="majorBidi"/>
            </w:rPr>
            <w:t>16.03.2022</w:t>
          </w:r>
        </w:p>
      </w:tc>
    </w:tr>
    <w:tr w:rsidR="00D72B18" w:rsidTr="00744A9F">
      <w:trPr>
        <w:trHeight w:val="328"/>
      </w:trPr>
      <w:tc>
        <w:tcPr>
          <w:tcW w:w="1681" w:type="dxa"/>
          <w:vMerge/>
        </w:tcPr>
        <w:p w:rsidR="00D72B18" w:rsidRDefault="00D72B18">
          <w:pPr>
            <w:pStyle w:val="stbilgi"/>
          </w:pPr>
        </w:p>
      </w:tc>
      <w:tc>
        <w:tcPr>
          <w:tcW w:w="6116" w:type="dxa"/>
          <w:vMerge w:val="restart"/>
          <w:vAlign w:val="center"/>
        </w:tcPr>
        <w:p w:rsidR="00D72B18" w:rsidRPr="00C17D1A" w:rsidRDefault="00A47C38" w:rsidP="00A47C38">
          <w:pPr>
            <w:pStyle w:val="stbilgi"/>
            <w:jc w:val="center"/>
            <w:rPr>
              <w:rFonts w:asciiTheme="majorBidi" w:hAnsiTheme="majorBidi" w:cstheme="majorBidi"/>
              <w:sz w:val="24"/>
              <w:szCs w:val="24"/>
            </w:rPr>
          </w:pPr>
          <w:r>
            <w:rPr>
              <w:rFonts w:asciiTheme="majorBidi" w:hAnsiTheme="majorBidi" w:cstheme="majorBidi"/>
              <w:sz w:val="24"/>
              <w:szCs w:val="24"/>
            </w:rPr>
            <w:t xml:space="preserve">KİMYASAL ATIK DEPOLAMA </w:t>
          </w:r>
          <w:r w:rsidRPr="00A47C38">
            <w:rPr>
              <w:rFonts w:asciiTheme="majorBidi" w:hAnsiTheme="majorBidi" w:cstheme="majorBidi"/>
              <w:sz w:val="24"/>
              <w:szCs w:val="24"/>
            </w:rPr>
            <w:t>TALİMATI</w:t>
          </w:r>
        </w:p>
      </w:tc>
      <w:tc>
        <w:tcPr>
          <w:tcW w:w="1418" w:type="dxa"/>
          <w:vAlign w:val="center"/>
        </w:tcPr>
        <w:p w:rsidR="00D72B18" w:rsidRPr="00C17D1A" w:rsidRDefault="00D72B18" w:rsidP="00C17D1A">
          <w:pPr>
            <w:pStyle w:val="stbilgi"/>
            <w:rPr>
              <w:rFonts w:asciiTheme="majorBidi" w:hAnsiTheme="majorBidi" w:cstheme="majorBidi"/>
            </w:rPr>
          </w:pPr>
          <w:r w:rsidRPr="00C17D1A">
            <w:rPr>
              <w:rFonts w:asciiTheme="majorBidi" w:hAnsiTheme="majorBidi" w:cstheme="majorBidi"/>
            </w:rPr>
            <w:t>Sayfa No</w:t>
          </w:r>
        </w:p>
      </w:tc>
      <w:tc>
        <w:tcPr>
          <w:tcW w:w="1276" w:type="dxa"/>
          <w:vAlign w:val="center"/>
        </w:tcPr>
        <w:p w:rsidR="00D72B18" w:rsidRPr="00C17D1A" w:rsidRDefault="00D72B18" w:rsidP="00C17D1A">
          <w:pPr>
            <w:pStyle w:val="stbilgi"/>
            <w:rPr>
              <w:rFonts w:asciiTheme="majorBidi" w:hAnsiTheme="majorBidi" w:cstheme="majorBidi"/>
            </w:rPr>
          </w:pPr>
          <w:r w:rsidRPr="00C17D1A">
            <w:rPr>
              <w:rFonts w:asciiTheme="majorBidi" w:hAnsiTheme="majorBidi" w:cstheme="majorBidi"/>
            </w:rPr>
            <w:fldChar w:fldCharType="begin"/>
          </w:r>
          <w:r w:rsidRPr="00C17D1A">
            <w:rPr>
              <w:rFonts w:asciiTheme="majorBidi" w:hAnsiTheme="majorBidi" w:cstheme="majorBidi"/>
            </w:rPr>
            <w:instrText>PAGE   \* MERGEFORMAT</w:instrText>
          </w:r>
          <w:r w:rsidRPr="00C17D1A">
            <w:rPr>
              <w:rFonts w:asciiTheme="majorBidi" w:hAnsiTheme="majorBidi" w:cstheme="majorBidi"/>
            </w:rPr>
            <w:fldChar w:fldCharType="separate"/>
          </w:r>
          <w:r w:rsidR="000E3E7A">
            <w:rPr>
              <w:rFonts w:asciiTheme="majorBidi" w:hAnsiTheme="majorBidi" w:cstheme="majorBidi"/>
              <w:noProof/>
            </w:rPr>
            <w:t>1</w:t>
          </w:r>
          <w:r w:rsidRPr="00C17D1A">
            <w:rPr>
              <w:rFonts w:asciiTheme="majorBidi" w:hAnsiTheme="majorBidi" w:cstheme="majorBidi"/>
            </w:rPr>
            <w:fldChar w:fldCharType="end"/>
          </w:r>
          <w:r w:rsidRPr="00C17D1A">
            <w:rPr>
              <w:rFonts w:asciiTheme="majorBidi" w:hAnsiTheme="majorBidi" w:cstheme="majorBidi"/>
            </w:rPr>
            <w:t>/1</w:t>
          </w:r>
        </w:p>
      </w:tc>
    </w:tr>
    <w:tr w:rsidR="00D72B18" w:rsidTr="00744A9F">
      <w:trPr>
        <w:trHeight w:val="328"/>
      </w:trPr>
      <w:tc>
        <w:tcPr>
          <w:tcW w:w="1681" w:type="dxa"/>
          <w:vMerge/>
        </w:tcPr>
        <w:p w:rsidR="00D72B18" w:rsidRDefault="00D72B18">
          <w:pPr>
            <w:pStyle w:val="stbilgi"/>
          </w:pPr>
        </w:p>
      </w:tc>
      <w:tc>
        <w:tcPr>
          <w:tcW w:w="6116" w:type="dxa"/>
          <w:vMerge/>
        </w:tcPr>
        <w:p w:rsidR="00D72B18" w:rsidRDefault="00D72B18">
          <w:pPr>
            <w:pStyle w:val="stbilgi"/>
          </w:pPr>
        </w:p>
      </w:tc>
      <w:tc>
        <w:tcPr>
          <w:tcW w:w="1418" w:type="dxa"/>
          <w:vAlign w:val="center"/>
        </w:tcPr>
        <w:p w:rsidR="00D72B18" w:rsidRPr="00C17D1A" w:rsidRDefault="00D72B18" w:rsidP="00C17D1A">
          <w:pPr>
            <w:pStyle w:val="stbilgi"/>
            <w:rPr>
              <w:rFonts w:asciiTheme="majorBidi" w:hAnsiTheme="majorBidi" w:cstheme="majorBidi"/>
            </w:rPr>
          </w:pPr>
          <w:r w:rsidRPr="00C17D1A">
            <w:rPr>
              <w:rFonts w:asciiTheme="majorBidi" w:hAnsiTheme="majorBidi" w:cstheme="majorBidi"/>
            </w:rPr>
            <w:t>Kurum Kodu</w:t>
          </w:r>
        </w:p>
      </w:tc>
      <w:tc>
        <w:tcPr>
          <w:tcW w:w="1276" w:type="dxa"/>
          <w:vAlign w:val="center"/>
        </w:tcPr>
        <w:p w:rsidR="00D72B18" w:rsidRPr="00C17D1A" w:rsidRDefault="00D72B18" w:rsidP="00C17D1A">
          <w:pPr>
            <w:pStyle w:val="stbilgi"/>
            <w:rPr>
              <w:rFonts w:asciiTheme="majorBidi" w:hAnsiTheme="majorBidi" w:cstheme="majorBidi"/>
            </w:rPr>
          </w:pPr>
          <w:r w:rsidRPr="00C17D1A">
            <w:rPr>
              <w:rFonts w:asciiTheme="majorBidi" w:hAnsiTheme="majorBidi" w:cstheme="majorBidi"/>
            </w:rPr>
            <w:t>974515</w:t>
          </w:r>
        </w:p>
      </w:tc>
    </w:tr>
  </w:tbl>
  <w:p w:rsidR="008321B6" w:rsidRPr="00E95D42" w:rsidRDefault="008321B6" w:rsidP="00D72B18">
    <w:pPr>
      <w:pStyle w:val="stbilgi"/>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D348C"/>
    <w:multiLevelType w:val="multilevel"/>
    <w:tmpl w:val="96AA9C34"/>
    <w:lvl w:ilvl="0">
      <w:start w:val="3"/>
      <w:numFmt w:val="decimal"/>
      <w:lvlText w:val="%1."/>
      <w:lvlJc w:val="left"/>
      <w:pPr>
        <w:ind w:left="360" w:hanging="360"/>
      </w:pPr>
      <w:rPr>
        <w:rFonts w:hint="default"/>
        <w:b w:val="0"/>
      </w:rPr>
    </w:lvl>
    <w:lvl w:ilvl="1">
      <w:start w:val="1"/>
      <w:numFmt w:val="decimal"/>
      <w:lvlText w:val="%1.%2."/>
      <w:lvlJc w:val="left"/>
      <w:pPr>
        <w:ind w:left="3763" w:hanging="360"/>
      </w:pPr>
      <w:rPr>
        <w:rFonts w:ascii="Arial" w:hAnsi="Arial" w:cs="Arial" w:hint="default"/>
        <w:b/>
        <w:sz w:val="24"/>
        <w:szCs w:val="24"/>
      </w:rPr>
    </w:lvl>
    <w:lvl w:ilvl="2">
      <w:start w:val="1"/>
      <w:numFmt w:val="decimal"/>
      <w:lvlText w:val="%1.%2.%3."/>
      <w:lvlJc w:val="left"/>
      <w:pPr>
        <w:ind w:left="-132" w:hanging="720"/>
      </w:pPr>
      <w:rPr>
        <w:rFonts w:hint="default"/>
        <w:b w:val="0"/>
      </w:rPr>
    </w:lvl>
    <w:lvl w:ilvl="3">
      <w:start w:val="1"/>
      <w:numFmt w:val="decimal"/>
      <w:lvlText w:val="%1.%2.%3.%4."/>
      <w:lvlJc w:val="left"/>
      <w:pPr>
        <w:ind w:left="-558" w:hanging="720"/>
      </w:pPr>
      <w:rPr>
        <w:rFonts w:hint="default"/>
        <w:b w:val="0"/>
      </w:rPr>
    </w:lvl>
    <w:lvl w:ilvl="4">
      <w:start w:val="1"/>
      <w:numFmt w:val="decimal"/>
      <w:lvlText w:val="%1.%2.%3.%4.%5."/>
      <w:lvlJc w:val="left"/>
      <w:pPr>
        <w:ind w:left="-624" w:hanging="1080"/>
      </w:pPr>
      <w:rPr>
        <w:rFonts w:hint="default"/>
        <w:b w:val="0"/>
      </w:rPr>
    </w:lvl>
    <w:lvl w:ilvl="5">
      <w:start w:val="1"/>
      <w:numFmt w:val="decimal"/>
      <w:lvlText w:val="%1.%2.%3.%4.%5.%6."/>
      <w:lvlJc w:val="left"/>
      <w:pPr>
        <w:ind w:left="-1050" w:hanging="1080"/>
      </w:pPr>
      <w:rPr>
        <w:rFonts w:hint="default"/>
        <w:b w:val="0"/>
      </w:rPr>
    </w:lvl>
    <w:lvl w:ilvl="6">
      <w:start w:val="1"/>
      <w:numFmt w:val="decimal"/>
      <w:lvlText w:val="%1.%2.%3.%4.%5.%6.%7."/>
      <w:lvlJc w:val="left"/>
      <w:pPr>
        <w:ind w:left="-1116" w:hanging="1440"/>
      </w:pPr>
      <w:rPr>
        <w:rFonts w:hint="default"/>
        <w:b w:val="0"/>
      </w:rPr>
    </w:lvl>
    <w:lvl w:ilvl="7">
      <w:start w:val="1"/>
      <w:numFmt w:val="decimal"/>
      <w:lvlText w:val="%1.%2.%3.%4.%5.%6.%7.%8."/>
      <w:lvlJc w:val="left"/>
      <w:pPr>
        <w:ind w:left="-1542" w:hanging="1440"/>
      </w:pPr>
      <w:rPr>
        <w:rFonts w:hint="default"/>
        <w:b w:val="0"/>
      </w:rPr>
    </w:lvl>
    <w:lvl w:ilvl="8">
      <w:start w:val="1"/>
      <w:numFmt w:val="decimal"/>
      <w:lvlText w:val="%1.%2.%3.%4.%5.%6.%7.%8.%9."/>
      <w:lvlJc w:val="left"/>
      <w:pPr>
        <w:ind w:left="-1608"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F6D"/>
    <w:rsid w:val="00034170"/>
    <w:rsid w:val="000C00A5"/>
    <w:rsid w:val="000E3E7A"/>
    <w:rsid w:val="00134D17"/>
    <w:rsid w:val="0015316C"/>
    <w:rsid w:val="001612F5"/>
    <w:rsid w:val="001973D9"/>
    <w:rsid w:val="001B7310"/>
    <w:rsid w:val="00646A1B"/>
    <w:rsid w:val="00744A9F"/>
    <w:rsid w:val="00785399"/>
    <w:rsid w:val="008321B6"/>
    <w:rsid w:val="00881C02"/>
    <w:rsid w:val="00A47C38"/>
    <w:rsid w:val="00BF117F"/>
    <w:rsid w:val="00C061AA"/>
    <w:rsid w:val="00C17D1A"/>
    <w:rsid w:val="00C22145"/>
    <w:rsid w:val="00CA1E0C"/>
    <w:rsid w:val="00D72B18"/>
    <w:rsid w:val="00D75739"/>
    <w:rsid w:val="00E442BE"/>
    <w:rsid w:val="00E60F6D"/>
    <w:rsid w:val="00E95D4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C38"/>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qFormat/>
    <w:rsid w:val="00D72B18"/>
    <w:pPr>
      <w:keepNext/>
      <w:jc w:val="center"/>
      <w:outlineLvl w:val="1"/>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21B6"/>
    <w:pPr>
      <w:tabs>
        <w:tab w:val="center" w:pos="4536"/>
        <w:tab w:val="right" w:pos="9072"/>
      </w:tabs>
    </w:pPr>
  </w:style>
  <w:style w:type="character" w:customStyle="1" w:styleId="stbilgiChar">
    <w:name w:val="Üstbilgi Char"/>
    <w:basedOn w:val="VarsaylanParagrafYazTipi"/>
    <w:link w:val="stbilgi"/>
    <w:uiPriority w:val="99"/>
    <w:rsid w:val="008321B6"/>
  </w:style>
  <w:style w:type="paragraph" w:styleId="Altbilgi">
    <w:name w:val="footer"/>
    <w:basedOn w:val="Normal"/>
    <w:link w:val="AltbilgiChar"/>
    <w:uiPriority w:val="99"/>
    <w:unhideWhenUsed/>
    <w:rsid w:val="008321B6"/>
    <w:pPr>
      <w:tabs>
        <w:tab w:val="center" w:pos="4536"/>
        <w:tab w:val="right" w:pos="9072"/>
      </w:tabs>
    </w:pPr>
  </w:style>
  <w:style w:type="character" w:customStyle="1" w:styleId="AltbilgiChar">
    <w:name w:val="Altbilgi Char"/>
    <w:basedOn w:val="VarsaylanParagrafYazTipi"/>
    <w:link w:val="Altbilgi"/>
    <w:uiPriority w:val="99"/>
    <w:rsid w:val="008321B6"/>
  </w:style>
  <w:style w:type="table" w:styleId="TabloKlavuzu">
    <w:name w:val="Table Grid"/>
    <w:basedOn w:val="NormalTablo"/>
    <w:uiPriority w:val="59"/>
    <w:rsid w:val="00832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D72B18"/>
    <w:rPr>
      <w:rFonts w:ascii="Arial" w:eastAsia="Times New Roman" w:hAnsi="Arial" w:cs="Times New Roman"/>
      <w:b/>
      <w:sz w:val="24"/>
      <w:szCs w:val="20"/>
      <w:lang w:eastAsia="tr-TR"/>
    </w:rPr>
  </w:style>
  <w:style w:type="paragraph" w:styleId="GvdeMetni2">
    <w:name w:val="Body Text 2"/>
    <w:basedOn w:val="Normal"/>
    <w:link w:val="GvdeMetni2Char"/>
    <w:rsid w:val="00D72B18"/>
    <w:pPr>
      <w:jc w:val="center"/>
    </w:pPr>
    <w:rPr>
      <w:rFonts w:ascii="Tahoma" w:hAnsi="Tahoma"/>
      <w:b/>
      <w:sz w:val="24"/>
    </w:rPr>
  </w:style>
  <w:style w:type="character" w:customStyle="1" w:styleId="GvdeMetni2Char">
    <w:name w:val="Gövde Metni 2 Char"/>
    <w:basedOn w:val="VarsaylanParagrafYazTipi"/>
    <w:link w:val="GvdeMetni2"/>
    <w:rsid w:val="00D72B18"/>
    <w:rPr>
      <w:rFonts w:ascii="Tahoma" w:eastAsia="Times New Roman" w:hAnsi="Tahoma" w:cs="Times New Roman"/>
      <w:b/>
      <w:sz w:val="24"/>
      <w:szCs w:val="20"/>
      <w:lang w:eastAsia="tr-TR"/>
    </w:rPr>
  </w:style>
  <w:style w:type="character" w:styleId="Kpr">
    <w:name w:val="Hyperlink"/>
    <w:rsid w:val="00A47C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C38"/>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qFormat/>
    <w:rsid w:val="00D72B18"/>
    <w:pPr>
      <w:keepNext/>
      <w:jc w:val="center"/>
      <w:outlineLvl w:val="1"/>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21B6"/>
    <w:pPr>
      <w:tabs>
        <w:tab w:val="center" w:pos="4536"/>
        <w:tab w:val="right" w:pos="9072"/>
      </w:tabs>
    </w:pPr>
  </w:style>
  <w:style w:type="character" w:customStyle="1" w:styleId="stbilgiChar">
    <w:name w:val="Üstbilgi Char"/>
    <w:basedOn w:val="VarsaylanParagrafYazTipi"/>
    <w:link w:val="stbilgi"/>
    <w:uiPriority w:val="99"/>
    <w:rsid w:val="008321B6"/>
  </w:style>
  <w:style w:type="paragraph" w:styleId="Altbilgi">
    <w:name w:val="footer"/>
    <w:basedOn w:val="Normal"/>
    <w:link w:val="AltbilgiChar"/>
    <w:uiPriority w:val="99"/>
    <w:unhideWhenUsed/>
    <w:rsid w:val="008321B6"/>
    <w:pPr>
      <w:tabs>
        <w:tab w:val="center" w:pos="4536"/>
        <w:tab w:val="right" w:pos="9072"/>
      </w:tabs>
    </w:pPr>
  </w:style>
  <w:style w:type="character" w:customStyle="1" w:styleId="AltbilgiChar">
    <w:name w:val="Altbilgi Char"/>
    <w:basedOn w:val="VarsaylanParagrafYazTipi"/>
    <w:link w:val="Altbilgi"/>
    <w:uiPriority w:val="99"/>
    <w:rsid w:val="008321B6"/>
  </w:style>
  <w:style w:type="table" w:styleId="TabloKlavuzu">
    <w:name w:val="Table Grid"/>
    <w:basedOn w:val="NormalTablo"/>
    <w:uiPriority w:val="59"/>
    <w:rsid w:val="00832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D72B18"/>
    <w:rPr>
      <w:rFonts w:ascii="Arial" w:eastAsia="Times New Roman" w:hAnsi="Arial" w:cs="Times New Roman"/>
      <w:b/>
      <w:sz w:val="24"/>
      <w:szCs w:val="20"/>
      <w:lang w:eastAsia="tr-TR"/>
    </w:rPr>
  </w:style>
  <w:style w:type="paragraph" w:styleId="GvdeMetni2">
    <w:name w:val="Body Text 2"/>
    <w:basedOn w:val="Normal"/>
    <w:link w:val="GvdeMetni2Char"/>
    <w:rsid w:val="00D72B18"/>
    <w:pPr>
      <w:jc w:val="center"/>
    </w:pPr>
    <w:rPr>
      <w:rFonts w:ascii="Tahoma" w:hAnsi="Tahoma"/>
      <w:b/>
      <w:sz w:val="24"/>
    </w:rPr>
  </w:style>
  <w:style w:type="character" w:customStyle="1" w:styleId="GvdeMetni2Char">
    <w:name w:val="Gövde Metni 2 Char"/>
    <w:basedOn w:val="VarsaylanParagrafYazTipi"/>
    <w:link w:val="GvdeMetni2"/>
    <w:rsid w:val="00D72B18"/>
    <w:rPr>
      <w:rFonts w:ascii="Tahoma" w:eastAsia="Times New Roman" w:hAnsi="Tahoma" w:cs="Times New Roman"/>
      <w:b/>
      <w:sz w:val="24"/>
      <w:szCs w:val="20"/>
      <w:lang w:eastAsia="tr-TR"/>
    </w:rPr>
  </w:style>
  <w:style w:type="character" w:styleId="Kpr">
    <w:name w:val="Hyperlink"/>
    <w:rsid w:val="00A47C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06.07.FR.27%20At&#305;k%20Beyan%20Formu.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BE59C-5088-4B49-95AA-60B9484FE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252</Words>
  <Characters>1440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İSG uzmanı</cp:lastModifiedBy>
  <cp:revision>7</cp:revision>
  <dcterms:created xsi:type="dcterms:W3CDTF">2024-01-08T18:05:00Z</dcterms:created>
  <dcterms:modified xsi:type="dcterms:W3CDTF">2024-01-12T11:22:00Z</dcterms:modified>
</cp:coreProperties>
</file>