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4ED90" w14:textId="77777777" w:rsidR="003361CD" w:rsidRPr="002C5EC8" w:rsidRDefault="003361CD" w:rsidP="003361CD">
      <w:pPr>
        <w:ind w:left="-284"/>
        <w:jc w:val="both"/>
        <w:rPr>
          <w:b/>
          <w:sz w:val="22"/>
          <w:szCs w:val="22"/>
        </w:rPr>
      </w:pPr>
      <w:r w:rsidRPr="002C5EC8">
        <w:rPr>
          <w:b/>
          <w:sz w:val="22"/>
          <w:szCs w:val="22"/>
        </w:rPr>
        <w:t xml:space="preserve">1. AMAÇ </w:t>
      </w:r>
    </w:p>
    <w:p w14:paraId="14EA776B" w14:textId="7CBC5B91" w:rsidR="003361CD" w:rsidRPr="002C5EC8" w:rsidRDefault="003361CD" w:rsidP="003361CD">
      <w:pPr>
        <w:tabs>
          <w:tab w:val="num" w:pos="-284"/>
        </w:tabs>
        <w:ind w:left="-284"/>
        <w:jc w:val="both"/>
        <w:rPr>
          <w:sz w:val="22"/>
          <w:szCs w:val="22"/>
        </w:rPr>
      </w:pPr>
      <w:r w:rsidRPr="002C5EC8">
        <w:rPr>
          <w:sz w:val="22"/>
          <w:szCs w:val="22"/>
        </w:rPr>
        <w:t xml:space="preserve">Bu talimatın amacı; meydana gelebilecek </w:t>
      </w:r>
      <w:r w:rsidR="002C5EC8" w:rsidRPr="002C5EC8">
        <w:rPr>
          <w:sz w:val="22"/>
          <w:szCs w:val="22"/>
        </w:rPr>
        <w:t>herhangi</w:t>
      </w:r>
      <w:r w:rsidRPr="002C5EC8">
        <w:rPr>
          <w:sz w:val="22"/>
          <w:szCs w:val="22"/>
        </w:rPr>
        <w:t xml:space="preserve"> bir yangın durumunu önlemek ve yangın anında yapılması gereken operasyonları belirlemektir.</w:t>
      </w:r>
    </w:p>
    <w:p w14:paraId="01F41001" w14:textId="77777777" w:rsidR="003361CD" w:rsidRPr="002C5EC8" w:rsidRDefault="003361CD" w:rsidP="003361CD">
      <w:pPr>
        <w:tabs>
          <w:tab w:val="num" w:pos="-284"/>
        </w:tabs>
        <w:ind w:left="-284"/>
        <w:jc w:val="both"/>
        <w:rPr>
          <w:sz w:val="22"/>
          <w:szCs w:val="22"/>
        </w:rPr>
      </w:pPr>
    </w:p>
    <w:p w14:paraId="0B169876" w14:textId="77777777" w:rsidR="003361CD" w:rsidRPr="002C5EC8" w:rsidRDefault="003361CD" w:rsidP="003361CD">
      <w:pPr>
        <w:tabs>
          <w:tab w:val="num" w:pos="-284"/>
        </w:tabs>
        <w:ind w:left="-284"/>
        <w:jc w:val="both"/>
        <w:rPr>
          <w:b/>
          <w:sz w:val="22"/>
          <w:szCs w:val="22"/>
        </w:rPr>
      </w:pPr>
      <w:r w:rsidRPr="002C5EC8">
        <w:rPr>
          <w:b/>
          <w:sz w:val="22"/>
          <w:szCs w:val="22"/>
        </w:rPr>
        <w:t>2. SORUMLULUK VE YETKİLER</w:t>
      </w:r>
    </w:p>
    <w:p w14:paraId="7CE38CC8" w14:textId="505394B5" w:rsidR="003361CD" w:rsidRPr="002C5EC8" w:rsidRDefault="003361CD" w:rsidP="003361CD">
      <w:pPr>
        <w:tabs>
          <w:tab w:val="num" w:pos="-284"/>
        </w:tabs>
        <w:ind w:left="-284"/>
        <w:jc w:val="both"/>
        <w:rPr>
          <w:sz w:val="22"/>
          <w:szCs w:val="22"/>
        </w:rPr>
      </w:pPr>
      <w:r w:rsidRPr="002C5EC8">
        <w:rPr>
          <w:sz w:val="22"/>
          <w:szCs w:val="22"/>
        </w:rPr>
        <w:t xml:space="preserve">Bu talimatın uygulanmasından </w:t>
      </w:r>
      <w:r w:rsidRPr="002C5EC8">
        <w:rPr>
          <w:b/>
          <w:bCs/>
          <w:color w:val="00B050"/>
          <w:sz w:val="22"/>
          <w:szCs w:val="22"/>
        </w:rPr>
        <w:t xml:space="preserve">Yönetim Temsilcisi ile tüm </w:t>
      </w:r>
      <w:r w:rsidR="002C5EC8" w:rsidRPr="002C5EC8">
        <w:rPr>
          <w:b/>
          <w:bCs/>
          <w:color w:val="00B050"/>
          <w:sz w:val="22"/>
          <w:szCs w:val="22"/>
        </w:rPr>
        <w:t xml:space="preserve">Okul personeli </w:t>
      </w:r>
      <w:r w:rsidR="002C5EC8" w:rsidRPr="002C5EC8">
        <w:rPr>
          <w:sz w:val="22"/>
          <w:szCs w:val="22"/>
        </w:rPr>
        <w:t>sorumludur</w:t>
      </w:r>
      <w:r w:rsidRPr="002C5EC8">
        <w:rPr>
          <w:sz w:val="22"/>
          <w:szCs w:val="22"/>
        </w:rPr>
        <w:t>.</w:t>
      </w:r>
    </w:p>
    <w:p w14:paraId="409CC20B" w14:textId="77777777" w:rsidR="003361CD" w:rsidRPr="002C5EC8" w:rsidRDefault="003361CD" w:rsidP="003361CD">
      <w:pPr>
        <w:tabs>
          <w:tab w:val="num" w:pos="-284"/>
        </w:tabs>
        <w:ind w:left="-284"/>
        <w:jc w:val="both"/>
        <w:rPr>
          <w:sz w:val="22"/>
          <w:szCs w:val="22"/>
        </w:rPr>
      </w:pPr>
    </w:p>
    <w:p w14:paraId="58CCF231" w14:textId="77777777" w:rsidR="003361CD" w:rsidRPr="002C5EC8" w:rsidRDefault="003361CD" w:rsidP="003361CD">
      <w:pPr>
        <w:ind w:left="-284"/>
        <w:jc w:val="both"/>
        <w:rPr>
          <w:b/>
          <w:sz w:val="22"/>
          <w:szCs w:val="22"/>
        </w:rPr>
      </w:pPr>
      <w:r w:rsidRPr="002C5EC8">
        <w:rPr>
          <w:b/>
          <w:sz w:val="22"/>
          <w:szCs w:val="22"/>
        </w:rPr>
        <w:t xml:space="preserve">3. UYGULAMA </w:t>
      </w:r>
    </w:p>
    <w:p w14:paraId="4974259B" w14:textId="77777777" w:rsidR="003361CD" w:rsidRPr="002C5EC8" w:rsidRDefault="003361CD" w:rsidP="003361CD">
      <w:pPr>
        <w:ind w:left="567" w:hanging="568"/>
        <w:jc w:val="both"/>
        <w:rPr>
          <w:sz w:val="22"/>
          <w:szCs w:val="22"/>
        </w:rPr>
      </w:pPr>
      <w:r w:rsidRPr="002C5EC8">
        <w:rPr>
          <w:b/>
          <w:sz w:val="22"/>
          <w:szCs w:val="22"/>
        </w:rPr>
        <w:t xml:space="preserve">3.1. </w:t>
      </w:r>
      <w:r w:rsidRPr="002C5EC8">
        <w:rPr>
          <w:sz w:val="22"/>
          <w:szCs w:val="22"/>
        </w:rPr>
        <w:t xml:space="preserve">Mutfakta kullanılan yanıcı ve parlayıcı malzemelere </w:t>
      </w:r>
      <w:r w:rsidRPr="002C5EC8">
        <w:rPr>
          <w:b/>
          <w:bCs/>
          <w:i/>
          <w:iCs/>
          <w:sz w:val="22"/>
          <w:szCs w:val="22"/>
        </w:rPr>
        <w:t xml:space="preserve">KESİNLİKLE ATEŞLE YAKLAŞILMAZ </w:t>
      </w:r>
      <w:r w:rsidRPr="002C5EC8">
        <w:rPr>
          <w:sz w:val="22"/>
          <w:szCs w:val="22"/>
        </w:rPr>
        <w:t xml:space="preserve">ve bu ortamda </w:t>
      </w:r>
      <w:r w:rsidRPr="002C5EC8">
        <w:rPr>
          <w:b/>
          <w:bCs/>
          <w:i/>
          <w:iCs/>
          <w:sz w:val="22"/>
          <w:szCs w:val="22"/>
        </w:rPr>
        <w:t xml:space="preserve">KESİNLİKLE SİGARA İÇİLMEZ. </w:t>
      </w:r>
    </w:p>
    <w:p w14:paraId="07D3830E" w14:textId="77777777" w:rsidR="003361CD" w:rsidRPr="002C5EC8" w:rsidRDefault="003361CD" w:rsidP="003361CD">
      <w:pPr>
        <w:ind w:left="567" w:hanging="568"/>
        <w:jc w:val="both"/>
        <w:rPr>
          <w:b/>
          <w:sz w:val="22"/>
          <w:szCs w:val="22"/>
        </w:rPr>
      </w:pPr>
    </w:p>
    <w:p w14:paraId="58575819" w14:textId="77777777" w:rsidR="003361CD" w:rsidRPr="002C5EC8" w:rsidRDefault="003361CD" w:rsidP="003361CD">
      <w:pPr>
        <w:ind w:left="567" w:hanging="568"/>
        <w:jc w:val="both"/>
        <w:rPr>
          <w:sz w:val="22"/>
          <w:szCs w:val="22"/>
        </w:rPr>
      </w:pPr>
      <w:r w:rsidRPr="002C5EC8">
        <w:rPr>
          <w:b/>
          <w:sz w:val="22"/>
          <w:szCs w:val="22"/>
        </w:rPr>
        <w:t xml:space="preserve">3.2. </w:t>
      </w:r>
      <w:r w:rsidRPr="002C5EC8">
        <w:rPr>
          <w:sz w:val="22"/>
          <w:szCs w:val="22"/>
        </w:rPr>
        <w:t>Meydana gelebilecek bir yangın durumunda personelin yapması gereken operasyonlarla ilgili eğitimler verilir.  Personel bu konuda bilinçlendirilir.</w:t>
      </w:r>
    </w:p>
    <w:p w14:paraId="29DB90C6" w14:textId="77777777" w:rsidR="003361CD" w:rsidRPr="002C5EC8" w:rsidRDefault="003361CD" w:rsidP="003361CD">
      <w:pPr>
        <w:ind w:left="567" w:hanging="568"/>
        <w:jc w:val="both"/>
        <w:rPr>
          <w:b/>
          <w:sz w:val="22"/>
          <w:szCs w:val="22"/>
        </w:rPr>
      </w:pPr>
    </w:p>
    <w:p w14:paraId="674DBFAA" w14:textId="77777777" w:rsidR="003361CD" w:rsidRPr="002C5EC8" w:rsidRDefault="003361CD" w:rsidP="003361CD">
      <w:pPr>
        <w:ind w:left="567" w:hanging="568"/>
        <w:jc w:val="both"/>
        <w:rPr>
          <w:sz w:val="22"/>
          <w:szCs w:val="22"/>
        </w:rPr>
      </w:pPr>
      <w:r w:rsidRPr="002C5EC8">
        <w:rPr>
          <w:b/>
          <w:sz w:val="22"/>
          <w:szCs w:val="22"/>
        </w:rPr>
        <w:t xml:space="preserve">3.3. </w:t>
      </w:r>
      <w:r w:rsidRPr="002C5EC8">
        <w:rPr>
          <w:sz w:val="22"/>
          <w:szCs w:val="22"/>
        </w:rPr>
        <w:t>Okul içine uygun yerlere yeteri kadar konulan yangın söndürücülerinin nasıl kullanılacağı uygulamalı olarak gösterilir. Personel bu konuda bilgilendirilir.</w:t>
      </w:r>
    </w:p>
    <w:p w14:paraId="2CBEBE64" w14:textId="77777777" w:rsidR="003361CD" w:rsidRPr="002C5EC8" w:rsidRDefault="003361CD" w:rsidP="003361CD">
      <w:pPr>
        <w:ind w:left="567" w:hanging="568"/>
        <w:jc w:val="both"/>
        <w:rPr>
          <w:b/>
          <w:sz w:val="22"/>
          <w:szCs w:val="22"/>
        </w:rPr>
      </w:pPr>
    </w:p>
    <w:p w14:paraId="2C9ACFCE" w14:textId="0093ACBA" w:rsidR="003361CD" w:rsidRPr="002C5EC8" w:rsidRDefault="003361CD" w:rsidP="003361CD">
      <w:pPr>
        <w:ind w:left="567" w:hanging="568"/>
        <w:jc w:val="both"/>
        <w:rPr>
          <w:sz w:val="22"/>
          <w:szCs w:val="22"/>
        </w:rPr>
      </w:pPr>
      <w:r w:rsidRPr="002C5EC8">
        <w:rPr>
          <w:b/>
          <w:sz w:val="22"/>
          <w:szCs w:val="22"/>
        </w:rPr>
        <w:t xml:space="preserve">3.4. </w:t>
      </w:r>
      <w:r w:rsidRPr="002C5EC8">
        <w:rPr>
          <w:sz w:val="22"/>
          <w:szCs w:val="22"/>
        </w:rPr>
        <w:t xml:space="preserve">Yangını tespit eden kişi en kısa sürede amirine haber verir. Yangın büyümeden söndürme </w:t>
      </w:r>
      <w:r w:rsidR="002C5EC8" w:rsidRPr="002C5EC8">
        <w:rPr>
          <w:sz w:val="22"/>
          <w:szCs w:val="22"/>
        </w:rPr>
        <w:t>imkânı</w:t>
      </w:r>
      <w:r w:rsidRPr="002C5EC8">
        <w:rPr>
          <w:sz w:val="22"/>
          <w:szCs w:val="22"/>
        </w:rPr>
        <w:t xml:space="preserve"> var ise yangın söndürme cihazları ile ilk müdahale yapılır. Bu arada itfaiyeye haber verilir.</w:t>
      </w:r>
    </w:p>
    <w:p w14:paraId="4A22E4A2" w14:textId="77777777" w:rsidR="003361CD" w:rsidRPr="002C5EC8" w:rsidRDefault="003361CD" w:rsidP="003361CD">
      <w:pPr>
        <w:ind w:left="567" w:hanging="568"/>
        <w:jc w:val="both"/>
        <w:rPr>
          <w:sz w:val="22"/>
          <w:szCs w:val="22"/>
        </w:rPr>
      </w:pPr>
    </w:p>
    <w:p w14:paraId="37A9E9AD" w14:textId="77777777" w:rsidR="003361CD" w:rsidRPr="002C5EC8" w:rsidRDefault="003361CD" w:rsidP="003361CD">
      <w:pPr>
        <w:ind w:left="567" w:hanging="568"/>
        <w:jc w:val="both"/>
        <w:rPr>
          <w:sz w:val="22"/>
          <w:szCs w:val="22"/>
        </w:rPr>
      </w:pPr>
      <w:r w:rsidRPr="002C5EC8">
        <w:rPr>
          <w:b/>
          <w:sz w:val="22"/>
          <w:szCs w:val="22"/>
        </w:rPr>
        <w:t xml:space="preserve">3.5. </w:t>
      </w:r>
      <w:r w:rsidRPr="002C5EC8">
        <w:rPr>
          <w:sz w:val="22"/>
          <w:szCs w:val="22"/>
        </w:rPr>
        <w:t xml:space="preserve">Yangını tespit eden kişi sesli olarak veya alarmı çalıştırarak yangını haber verir. </w:t>
      </w:r>
    </w:p>
    <w:p w14:paraId="0C766EFD" w14:textId="77777777" w:rsidR="003361CD" w:rsidRPr="002C5EC8" w:rsidRDefault="003361CD" w:rsidP="003361CD">
      <w:pPr>
        <w:ind w:left="567" w:hanging="568"/>
        <w:jc w:val="both"/>
        <w:rPr>
          <w:b/>
          <w:sz w:val="22"/>
          <w:szCs w:val="22"/>
        </w:rPr>
      </w:pPr>
    </w:p>
    <w:p w14:paraId="368C8AEB" w14:textId="77777777" w:rsidR="003361CD" w:rsidRPr="002C5EC8" w:rsidRDefault="003361CD" w:rsidP="003361CD">
      <w:pPr>
        <w:ind w:left="567" w:hanging="568"/>
        <w:jc w:val="both"/>
        <w:rPr>
          <w:sz w:val="22"/>
          <w:szCs w:val="22"/>
        </w:rPr>
      </w:pPr>
      <w:r w:rsidRPr="002C5EC8">
        <w:rPr>
          <w:b/>
          <w:sz w:val="22"/>
          <w:szCs w:val="22"/>
        </w:rPr>
        <w:t xml:space="preserve">3.6. </w:t>
      </w:r>
      <w:r w:rsidRPr="002C5EC8">
        <w:rPr>
          <w:sz w:val="22"/>
          <w:szCs w:val="22"/>
        </w:rPr>
        <w:t>Yangın anında izdihama ve paniğe yol açacak davranışlarda bulunulmamalıdır. Sakin olunmalı başkalarını tehlikeye düşürecek hareketler yapılmamalıdır.</w:t>
      </w:r>
    </w:p>
    <w:p w14:paraId="48BA3D40" w14:textId="77777777" w:rsidR="003361CD" w:rsidRPr="002C5EC8" w:rsidRDefault="003361CD" w:rsidP="003361CD">
      <w:pPr>
        <w:ind w:left="567" w:hanging="568"/>
        <w:jc w:val="both"/>
        <w:rPr>
          <w:sz w:val="22"/>
          <w:szCs w:val="22"/>
        </w:rPr>
      </w:pPr>
    </w:p>
    <w:p w14:paraId="2BCC9EF6" w14:textId="77777777" w:rsidR="003361CD" w:rsidRPr="002C5EC8" w:rsidRDefault="003361CD" w:rsidP="003361CD">
      <w:pPr>
        <w:ind w:left="567" w:hanging="568"/>
        <w:jc w:val="both"/>
        <w:rPr>
          <w:sz w:val="22"/>
          <w:szCs w:val="22"/>
        </w:rPr>
      </w:pPr>
      <w:r w:rsidRPr="002C5EC8">
        <w:rPr>
          <w:b/>
          <w:sz w:val="22"/>
          <w:szCs w:val="22"/>
        </w:rPr>
        <w:t xml:space="preserve">3.7. </w:t>
      </w:r>
      <w:r w:rsidRPr="002C5EC8">
        <w:rPr>
          <w:sz w:val="22"/>
          <w:szCs w:val="22"/>
        </w:rPr>
        <w:t xml:space="preserve">Yangın anında ilk yardım, koruma, kurtarma ve söndürme ile ilgili faaliyetler itfaiye </w:t>
      </w:r>
      <w:r w:rsidRPr="00204A71">
        <w:rPr>
          <w:b/>
          <w:bCs/>
          <w:color w:val="FF0000"/>
          <w:sz w:val="22"/>
          <w:szCs w:val="22"/>
        </w:rPr>
        <w:t>(112)</w:t>
      </w:r>
      <w:r w:rsidRPr="00204A71">
        <w:rPr>
          <w:color w:val="FF0000"/>
          <w:sz w:val="22"/>
          <w:szCs w:val="22"/>
        </w:rPr>
        <w:t xml:space="preserve"> </w:t>
      </w:r>
      <w:r w:rsidRPr="002C5EC8">
        <w:rPr>
          <w:sz w:val="22"/>
          <w:szCs w:val="22"/>
        </w:rPr>
        <w:t>gelene kadar yangın söndürme malzemeleri ile çalışan personel tarafından yapılır. İtfaiyenin gelmesi ile müdahale işlemi itfaiye ekiplerine bırakılır ve itfaiye ekip yöneticisi tarafından talep gelirse itfaiye ekibine de yardımcı olunur.</w:t>
      </w:r>
    </w:p>
    <w:p w14:paraId="63FB0D9F" w14:textId="77777777" w:rsidR="003361CD" w:rsidRPr="002C5EC8" w:rsidRDefault="003361CD" w:rsidP="003361CD">
      <w:pPr>
        <w:ind w:left="567" w:hanging="568"/>
        <w:jc w:val="both"/>
        <w:rPr>
          <w:sz w:val="22"/>
          <w:szCs w:val="22"/>
        </w:rPr>
      </w:pPr>
    </w:p>
    <w:p w14:paraId="314666D4" w14:textId="77777777" w:rsidR="003361CD" w:rsidRPr="002C5EC8" w:rsidRDefault="003361CD" w:rsidP="003361CD">
      <w:pPr>
        <w:ind w:left="567" w:hanging="568"/>
        <w:jc w:val="both"/>
        <w:rPr>
          <w:sz w:val="22"/>
          <w:szCs w:val="22"/>
        </w:rPr>
      </w:pPr>
      <w:r w:rsidRPr="002C5EC8">
        <w:rPr>
          <w:b/>
          <w:sz w:val="22"/>
          <w:szCs w:val="22"/>
        </w:rPr>
        <w:t xml:space="preserve">3.8. </w:t>
      </w:r>
      <w:r w:rsidRPr="002C5EC8">
        <w:rPr>
          <w:sz w:val="22"/>
          <w:szCs w:val="22"/>
        </w:rPr>
        <w:t>Yangın anında itfaiye gelene kadar yangına ilk müdahale yapılır. Müdahalenin amacı mevcut malzemeyi kullanarak yangının büyümesini ve yayılmasını önlemek, kontrol altına almak, mümkünse söndürmektir.</w:t>
      </w:r>
    </w:p>
    <w:p w14:paraId="74E3933A" w14:textId="77777777" w:rsidR="003361CD" w:rsidRPr="002C5EC8" w:rsidRDefault="003361CD" w:rsidP="003361CD">
      <w:pPr>
        <w:ind w:left="567" w:hanging="568"/>
        <w:jc w:val="both"/>
        <w:rPr>
          <w:sz w:val="22"/>
          <w:szCs w:val="22"/>
        </w:rPr>
      </w:pPr>
    </w:p>
    <w:p w14:paraId="59940B75" w14:textId="77777777" w:rsidR="003361CD" w:rsidRPr="002C5EC8" w:rsidRDefault="003361CD" w:rsidP="003361CD">
      <w:pPr>
        <w:ind w:left="567" w:hanging="568"/>
        <w:jc w:val="both"/>
        <w:rPr>
          <w:sz w:val="22"/>
          <w:szCs w:val="22"/>
        </w:rPr>
      </w:pPr>
      <w:r w:rsidRPr="002C5EC8">
        <w:rPr>
          <w:b/>
          <w:sz w:val="22"/>
          <w:szCs w:val="22"/>
        </w:rPr>
        <w:t xml:space="preserve">3.9. </w:t>
      </w:r>
      <w:r w:rsidRPr="002C5EC8">
        <w:rPr>
          <w:sz w:val="22"/>
          <w:szCs w:val="22"/>
        </w:rPr>
        <w:t>Yangın anında talimatlar doğrultusunda önce canlılar sonra öncelik sırasına göre malzeme kurtarılır. Bu amaçla öncelik sırası olan malzeme, evrak vs. özel etiketlerle işaretlenir.</w:t>
      </w:r>
    </w:p>
    <w:p w14:paraId="1F887D38" w14:textId="77777777" w:rsidR="003361CD" w:rsidRPr="002C5EC8" w:rsidRDefault="003361CD" w:rsidP="003361CD">
      <w:pPr>
        <w:ind w:left="567" w:hanging="568"/>
        <w:jc w:val="both"/>
        <w:rPr>
          <w:sz w:val="22"/>
          <w:szCs w:val="22"/>
        </w:rPr>
      </w:pPr>
    </w:p>
    <w:p w14:paraId="52388E88" w14:textId="77777777" w:rsidR="003361CD" w:rsidRPr="002C5EC8" w:rsidRDefault="003361CD" w:rsidP="003361CD">
      <w:pPr>
        <w:ind w:left="567" w:hanging="568"/>
        <w:jc w:val="both"/>
        <w:rPr>
          <w:sz w:val="22"/>
          <w:szCs w:val="22"/>
        </w:rPr>
      </w:pPr>
      <w:r w:rsidRPr="002C5EC8">
        <w:rPr>
          <w:b/>
          <w:sz w:val="22"/>
          <w:szCs w:val="22"/>
        </w:rPr>
        <w:t>3.10.</w:t>
      </w:r>
      <w:r w:rsidRPr="002C5EC8">
        <w:rPr>
          <w:sz w:val="22"/>
          <w:szCs w:val="22"/>
        </w:rPr>
        <w:t>Yangın anında koruma ekibi ekip amirlerinin yönetiminde yangından kurtarılan personele zarar verecek izdiham, karışıklık ve diğer tehlike unsurlarının oluşmasını engellerler. Ayrıca kurtarılan malzemeler korunarak art niyetli şahısların müdahale etmesine engel olurlar.</w:t>
      </w:r>
    </w:p>
    <w:p w14:paraId="5EC0D24B" w14:textId="77777777" w:rsidR="003361CD" w:rsidRPr="002C5EC8" w:rsidRDefault="003361CD" w:rsidP="003361CD">
      <w:pPr>
        <w:ind w:left="567" w:hanging="568"/>
        <w:jc w:val="both"/>
        <w:rPr>
          <w:b/>
          <w:sz w:val="22"/>
          <w:szCs w:val="22"/>
        </w:rPr>
      </w:pPr>
    </w:p>
    <w:p w14:paraId="26506DC0" w14:textId="77777777" w:rsidR="003361CD" w:rsidRPr="002C5EC8" w:rsidRDefault="003361CD" w:rsidP="003361CD">
      <w:pPr>
        <w:ind w:left="567" w:hanging="568"/>
        <w:jc w:val="both"/>
        <w:rPr>
          <w:sz w:val="22"/>
          <w:szCs w:val="22"/>
        </w:rPr>
      </w:pPr>
      <w:r w:rsidRPr="002C5EC8">
        <w:rPr>
          <w:b/>
          <w:sz w:val="22"/>
          <w:szCs w:val="22"/>
        </w:rPr>
        <w:t>3.11.</w:t>
      </w:r>
      <w:r w:rsidRPr="002C5EC8">
        <w:rPr>
          <w:sz w:val="22"/>
          <w:szCs w:val="22"/>
        </w:rPr>
        <w:t xml:space="preserve">Yangın tüplerinin periyodik olarak yılda bir kontrolleri yaptırılır. Yetkili servisten kontrol kartları alınarak tüpler üzerine asılır. Diğer yangın malzemelerinin (su hortumları, yangın dolapları vb.) test edilerek çalışır halde tutulması sağlanır. Bu amaçla Yönetim Temsilcisi </w:t>
      </w:r>
      <w:hyperlink r:id="rId7" w:history="1">
        <w:r w:rsidRPr="002C5EC8">
          <w:rPr>
            <w:rStyle w:val="Kpr"/>
            <w:sz w:val="22"/>
            <w:szCs w:val="22"/>
          </w:rPr>
          <w:t>05.12.FR.15 Yangın Tüpleri Takip Formu</w:t>
        </w:r>
      </w:hyperlink>
      <w:r w:rsidRPr="002C5EC8">
        <w:rPr>
          <w:sz w:val="22"/>
          <w:szCs w:val="22"/>
        </w:rPr>
        <w:t xml:space="preserve"> hazırlar ve dolum – bakım periyotlarını sürekli kontrol eder. </w:t>
      </w:r>
    </w:p>
    <w:p w14:paraId="768F24CE" w14:textId="77777777" w:rsidR="003361CD" w:rsidRPr="002C5EC8" w:rsidRDefault="003361CD" w:rsidP="003361CD">
      <w:pPr>
        <w:tabs>
          <w:tab w:val="num" w:pos="-284"/>
        </w:tabs>
        <w:ind w:left="-284"/>
        <w:jc w:val="both"/>
        <w:rPr>
          <w:sz w:val="22"/>
          <w:szCs w:val="22"/>
        </w:rPr>
      </w:pPr>
    </w:p>
    <w:p w14:paraId="6C83ECAB" w14:textId="77777777" w:rsidR="003361CD" w:rsidRPr="002C5EC8" w:rsidRDefault="003361CD" w:rsidP="003361CD">
      <w:pPr>
        <w:tabs>
          <w:tab w:val="num" w:pos="-284"/>
        </w:tabs>
        <w:ind w:left="-284"/>
        <w:rPr>
          <w:b/>
          <w:bCs/>
          <w:sz w:val="22"/>
          <w:szCs w:val="22"/>
        </w:rPr>
      </w:pPr>
      <w:r w:rsidRPr="002C5EC8">
        <w:rPr>
          <w:b/>
          <w:bCs/>
          <w:sz w:val="22"/>
          <w:szCs w:val="22"/>
        </w:rPr>
        <w:t>4. KALİTE KAYITLARI</w:t>
      </w:r>
    </w:p>
    <w:p w14:paraId="1C1B4373" w14:textId="77777777" w:rsidR="003361CD" w:rsidRPr="002C5EC8" w:rsidRDefault="003361CD" w:rsidP="003361CD">
      <w:pPr>
        <w:tabs>
          <w:tab w:val="num" w:pos="-284"/>
        </w:tabs>
        <w:ind w:left="-284"/>
        <w:rPr>
          <w:sz w:val="22"/>
          <w:szCs w:val="22"/>
        </w:rPr>
      </w:pPr>
      <w:r w:rsidRPr="002C5EC8">
        <w:rPr>
          <w:b/>
          <w:bCs/>
          <w:sz w:val="22"/>
          <w:szCs w:val="22"/>
        </w:rPr>
        <w:t>4.1.</w:t>
      </w:r>
      <w:r w:rsidRPr="002C5EC8">
        <w:rPr>
          <w:sz w:val="22"/>
          <w:szCs w:val="22"/>
        </w:rPr>
        <w:t xml:space="preserve"> </w:t>
      </w:r>
      <w:hyperlink r:id="rId8" w:history="1">
        <w:r w:rsidRPr="002C5EC8">
          <w:rPr>
            <w:rStyle w:val="Kpr"/>
            <w:sz w:val="22"/>
            <w:szCs w:val="22"/>
          </w:rPr>
          <w:t>05.12.FR.15 Yangın Tüpleri Takip Formu</w:t>
        </w:r>
      </w:hyperlink>
    </w:p>
    <w:p w14:paraId="5CF758D5" w14:textId="77777777" w:rsidR="003361CD" w:rsidRPr="002C5EC8" w:rsidRDefault="003361CD" w:rsidP="003361CD">
      <w:pPr>
        <w:rPr>
          <w:sz w:val="22"/>
          <w:szCs w:val="22"/>
        </w:rPr>
      </w:pPr>
    </w:p>
    <w:p w14:paraId="1817DD37" w14:textId="77777777" w:rsidR="003361CD" w:rsidRPr="002C5EC8" w:rsidRDefault="003361CD" w:rsidP="003361CD">
      <w:pPr>
        <w:rPr>
          <w:sz w:val="22"/>
          <w:szCs w:val="22"/>
        </w:rPr>
      </w:pPr>
    </w:p>
    <w:p w14:paraId="668E47CB" w14:textId="77777777" w:rsidR="003361CD" w:rsidRPr="002C5EC8" w:rsidRDefault="003361CD" w:rsidP="003361CD">
      <w:pPr>
        <w:rPr>
          <w:sz w:val="22"/>
          <w:szCs w:val="22"/>
        </w:rPr>
      </w:pPr>
    </w:p>
    <w:p w14:paraId="7B651527" w14:textId="77777777" w:rsidR="00646A1B" w:rsidRPr="002C5EC8" w:rsidRDefault="00646A1B">
      <w:pPr>
        <w:rPr>
          <w:sz w:val="22"/>
          <w:szCs w:val="22"/>
        </w:rPr>
      </w:pPr>
    </w:p>
    <w:sectPr w:rsidR="00646A1B" w:rsidRPr="002C5EC8" w:rsidSect="008321B6">
      <w:headerReference w:type="default" r:id="rId9"/>
      <w:footerReference w:type="default" r:id="rId10"/>
      <w:pgSz w:w="11906" w:h="16838"/>
      <w:pgMar w:top="527" w:right="1134" w:bottom="851" w:left="1134" w:header="567" w:footer="402"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09376" w14:textId="77777777" w:rsidR="00C028B8" w:rsidRDefault="00C028B8" w:rsidP="008321B6">
      <w:r>
        <w:separator/>
      </w:r>
    </w:p>
  </w:endnote>
  <w:endnote w:type="continuationSeparator" w:id="0">
    <w:p w14:paraId="0CB6EEF6" w14:textId="77777777" w:rsidR="00C028B8" w:rsidRDefault="00C028B8" w:rsidP="0083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525" w:type="dxa"/>
      <w:tblInd w:w="-318" w:type="dxa"/>
      <w:tblLook w:val="04A0" w:firstRow="1" w:lastRow="0" w:firstColumn="1" w:lastColumn="0" w:noHBand="0" w:noVBand="1"/>
    </w:tblPr>
    <w:tblGrid>
      <w:gridCol w:w="3615"/>
      <w:gridCol w:w="3615"/>
      <w:gridCol w:w="3295"/>
    </w:tblGrid>
    <w:tr w:rsidR="008321B6" w14:paraId="41678417" w14:textId="77777777" w:rsidTr="00D72B18">
      <w:trPr>
        <w:trHeight w:val="1128"/>
      </w:trPr>
      <w:tc>
        <w:tcPr>
          <w:tcW w:w="3615" w:type="dxa"/>
          <w:vAlign w:val="center"/>
        </w:tcPr>
        <w:p w14:paraId="512051FB" w14:textId="77777777" w:rsidR="00D72B18" w:rsidRPr="00C17D1A" w:rsidRDefault="00D72B18" w:rsidP="00D72B18">
          <w:pPr>
            <w:pStyle w:val="Balk2"/>
            <w:rPr>
              <w:rFonts w:asciiTheme="majorBidi" w:hAnsiTheme="majorBidi" w:cstheme="majorBidi"/>
            </w:rPr>
          </w:pPr>
          <w:r w:rsidRPr="00C17D1A">
            <w:rPr>
              <w:rFonts w:asciiTheme="majorBidi" w:hAnsiTheme="majorBidi" w:cstheme="majorBidi"/>
            </w:rPr>
            <w:t>HAZIRLAYAN</w:t>
          </w:r>
        </w:p>
        <w:p w14:paraId="5FF5DDE0" w14:textId="77777777" w:rsidR="00D72B18" w:rsidRPr="00C17D1A" w:rsidRDefault="00D72B18" w:rsidP="00D72B18">
          <w:pPr>
            <w:jc w:val="center"/>
            <w:rPr>
              <w:rFonts w:asciiTheme="majorBidi" w:hAnsiTheme="majorBidi" w:cstheme="majorBidi"/>
            </w:rPr>
          </w:pPr>
        </w:p>
        <w:p w14:paraId="764DD674" w14:textId="77777777" w:rsidR="008321B6" w:rsidRPr="00C17D1A" w:rsidRDefault="00C17D1A" w:rsidP="00D72B18">
          <w:pPr>
            <w:pStyle w:val="GvdeMetni2"/>
            <w:rPr>
              <w:rFonts w:asciiTheme="majorBidi" w:hAnsiTheme="majorBidi" w:cstheme="majorBidi"/>
            </w:rPr>
          </w:pPr>
          <w:r w:rsidRPr="00C17D1A">
            <w:rPr>
              <w:rFonts w:asciiTheme="majorBidi" w:hAnsiTheme="majorBidi" w:cstheme="majorBidi"/>
            </w:rPr>
            <w:t>Yönetim Temsilcisi</w:t>
          </w:r>
        </w:p>
      </w:tc>
      <w:tc>
        <w:tcPr>
          <w:tcW w:w="3615" w:type="dxa"/>
          <w:vAlign w:val="center"/>
        </w:tcPr>
        <w:p w14:paraId="2329188D" w14:textId="77777777" w:rsidR="00D72B18" w:rsidRPr="00C17D1A" w:rsidRDefault="00D72B18" w:rsidP="00D72B18">
          <w:pPr>
            <w:pStyle w:val="Balk2"/>
            <w:rPr>
              <w:rFonts w:asciiTheme="majorBidi" w:hAnsiTheme="majorBidi" w:cstheme="majorBidi"/>
            </w:rPr>
          </w:pPr>
          <w:r w:rsidRPr="00C17D1A">
            <w:rPr>
              <w:rFonts w:asciiTheme="majorBidi" w:hAnsiTheme="majorBidi" w:cstheme="majorBidi"/>
            </w:rPr>
            <w:t>ONAYLAYAN</w:t>
          </w:r>
        </w:p>
        <w:p w14:paraId="7A9FAF2A" w14:textId="77777777" w:rsidR="00D72B18" w:rsidRPr="00C17D1A" w:rsidRDefault="00D72B18" w:rsidP="00D72B18">
          <w:pPr>
            <w:jc w:val="center"/>
            <w:rPr>
              <w:rFonts w:asciiTheme="majorBidi" w:hAnsiTheme="majorBidi" w:cstheme="majorBidi"/>
            </w:rPr>
          </w:pPr>
        </w:p>
        <w:p w14:paraId="5B0FC535" w14:textId="77777777" w:rsidR="008321B6" w:rsidRPr="00C17D1A" w:rsidRDefault="00C17D1A" w:rsidP="00D72B18">
          <w:pPr>
            <w:jc w:val="center"/>
            <w:rPr>
              <w:rFonts w:asciiTheme="majorBidi" w:hAnsiTheme="majorBidi" w:cstheme="majorBidi"/>
              <w:b/>
              <w:sz w:val="24"/>
            </w:rPr>
          </w:pPr>
          <w:r w:rsidRPr="00C17D1A">
            <w:rPr>
              <w:rFonts w:asciiTheme="majorBidi" w:hAnsiTheme="majorBidi" w:cstheme="majorBidi"/>
              <w:b/>
              <w:sz w:val="24"/>
            </w:rPr>
            <w:t>Okul Müdürü</w:t>
          </w:r>
        </w:p>
      </w:tc>
      <w:tc>
        <w:tcPr>
          <w:tcW w:w="3295" w:type="dxa"/>
        </w:tcPr>
        <w:p w14:paraId="070D7247" w14:textId="77777777" w:rsidR="00D72B18" w:rsidRPr="00C17D1A" w:rsidRDefault="00D72B18" w:rsidP="00D72B18">
          <w:pPr>
            <w:jc w:val="center"/>
            <w:rPr>
              <w:rFonts w:asciiTheme="majorBidi" w:hAnsiTheme="majorBidi" w:cstheme="majorBidi"/>
              <w:b/>
              <w:sz w:val="24"/>
            </w:rPr>
          </w:pPr>
        </w:p>
        <w:p w14:paraId="29E5B01D" w14:textId="77777777" w:rsidR="00D72B18" w:rsidRPr="00C17D1A" w:rsidRDefault="00D72B18" w:rsidP="00D72B18">
          <w:pPr>
            <w:jc w:val="center"/>
            <w:rPr>
              <w:rFonts w:asciiTheme="majorBidi" w:hAnsiTheme="majorBidi" w:cstheme="majorBidi"/>
              <w:b/>
              <w:sz w:val="24"/>
            </w:rPr>
          </w:pPr>
          <w:r w:rsidRPr="00C17D1A">
            <w:rPr>
              <w:rFonts w:asciiTheme="majorBidi" w:hAnsiTheme="majorBidi" w:cstheme="majorBidi"/>
              <w:b/>
              <w:sz w:val="24"/>
            </w:rPr>
            <w:t>KAŞE</w:t>
          </w:r>
        </w:p>
        <w:p w14:paraId="6BA2035A" w14:textId="77777777" w:rsidR="008321B6" w:rsidRPr="00C17D1A" w:rsidRDefault="008321B6">
          <w:pPr>
            <w:pStyle w:val="AltBilgi"/>
            <w:rPr>
              <w:rFonts w:asciiTheme="majorBidi" w:hAnsiTheme="majorBidi" w:cstheme="majorBidi"/>
            </w:rPr>
          </w:pPr>
        </w:p>
      </w:tc>
    </w:tr>
  </w:tbl>
  <w:p w14:paraId="3B432B84" w14:textId="77777777" w:rsidR="008321B6" w:rsidRDefault="008321B6" w:rsidP="008321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21506" w14:textId="77777777" w:rsidR="00C028B8" w:rsidRDefault="00C028B8" w:rsidP="008321B6">
      <w:r>
        <w:separator/>
      </w:r>
    </w:p>
  </w:footnote>
  <w:footnote w:type="continuationSeparator" w:id="0">
    <w:p w14:paraId="6761C627" w14:textId="77777777" w:rsidR="00C028B8" w:rsidRDefault="00C028B8" w:rsidP="00832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1" w:type="dxa"/>
      <w:tblInd w:w="-318" w:type="dxa"/>
      <w:tblLook w:val="04A0" w:firstRow="1" w:lastRow="0" w:firstColumn="1" w:lastColumn="0" w:noHBand="0" w:noVBand="1"/>
    </w:tblPr>
    <w:tblGrid>
      <w:gridCol w:w="1673"/>
      <w:gridCol w:w="6092"/>
      <w:gridCol w:w="1416"/>
      <w:gridCol w:w="1310"/>
    </w:tblGrid>
    <w:tr w:rsidR="00D72B18" w14:paraId="2C0ED741" w14:textId="77777777" w:rsidTr="00744A9F">
      <w:trPr>
        <w:trHeight w:val="328"/>
      </w:trPr>
      <w:tc>
        <w:tcPr>
          <w:tcW w:w="1681" w:type="dxa"/>
          <w:vMerge w:val="restart"/>
        </w:tcPr>
        <w:p w14:paraId="3C2F19D3" w14:textId="77777777" w:rsidR="00D72B18" w:rsidRDefault="00D72B18">
          <w:pPr>
            <w:pStyle w:val="stBilgi"/>
          </w:pPr>
          <w:r>
            <w:rPr>
              <w:noProof/>
            </w:rPr>
            <w:drawing>
              <wp:anchor distT="0" distB="0" distL="114300" distR="114300" simplePos="0" relativeHeight="251658240" behindDoc="0" locked="0" layoutInCell="1" allowOverlap="1" wp14:anchorId="3B94149D" wp14:editId="3AE7A3AD">
                <wp:simplePos x="0" y="0"/>
                <wp:positionH relativeFrom="column">
                  <wp:posOffset>-18888</wp:posOffset>
                </wp:positionH>
                <wp:positionV relativeFrom="paragraph">
                  <wp:posOffset>58420</wp:posOffset>
                </wp:positionV>
                <wp:extent cx="978195" cy="965325"/>
                <wp:effectExtent l="0" t="0" r="0" b="635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195" cy="96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16" w:type="dxa"/>
          <w:vMerge w:val="restart"/>
        </w:tcPr>
        <w:p w14:paraId="75FE908F" w14:textId="77777777" w:rsidR="00D72B18" w:rsidRPr="00C17D1A" w:rsidRDefault="00D72B18" w:rsidP="00D72B18">
          <w:pPr>
            <w:pStyle w:val="stBilgi"/>
            <w:tabs>
              <w:tab w:val="clear" w:pos="4536"/>
              <w:tab w:val="clear" w:pos="9072"/>
            </w:tabs>
            <w:ind w:left="-142" w:right="-113"/>
            <w:jc w:val="center"/>
            <w:rPr>
              <w:rFonts w:asciiTheme="majorBidi" w:hAnsiTheme="majorBidi" w:cstheme="majorBidi"/>
              <w:b/>
              <w:sz w:val="24"/>
            </w:rPr>
          </w:pPr>
          <w:r w:rsidRPr="00C17D1A">
            <w:rPr>
              <w:rFonts w:asciiTheme="majorBidi" w:hAnsiTheme="majorBidi" w:cstheme="majorBidi"/>
              <w:b/>
              <w:sz w:val="24"/>
            </w:rPr>
            <w:t xml:space="preserve">T.C. </w:t>
          </w:r>
        </w:p>
        <w:p w14:paraId="41FCC725" w14:textId="77777777" w:rsidR="00D72B18" w:rsidRPr="00C17D1A" w:rsidRDefault="00D72B18" w:rsidP="00D72B18">
          <w:pPr>
            <w:pStyle w:val="stBilgi"/>
            <w:tabs>
              <w:tab w:val="clear" w:pos="4536"/>
              <w:tab w:val="clear" w:pos="9072"/>
            </w:tabs>
            <w:ind w:left="-142" w:right="-113"/>
            <w:jc w:val="center"/>
            <w:rPr>
              <w:rFonts w:asciiTheme="majorBidi" w:hAnsiTheme="majorBidi" w:cstheme="majorBidi"/>
              <w:b/>
              <w:sz w:val="24"/>
            </w:rPr>
          </w:pPr>
          <w:r w:rsidRPr="00C17D1A">
            <w:rPr>
              <w:rFonts w:asciiTheme="majorBidi" w:hAnsiTheme="majorBidi" w:cstheme="majorBidi"/>
              <w:b/>
              <w:sz w:val="24"/>
            </w:rPr>
            <w:t>KARATAY KAYMAKAMLIĞI</w:t>
          </w:r>
        </w:p>
        <w:p w14:paraId="1970A066" w14:textId="77777777" w:rsidR="00D72B18" w:rsidRPr="00C17D1A" w:rsidRDefault="00D72B18" w:rsidP="00D72B18">
          <w:pPr>
            <w:pStyle w:val="stBilgi"/>
            <w:tabs>
              <w:tab w:val="clear" w:pos="4536"/>
              <w:tab w:val="clear" w:pos="9072"/>
            </w:tabs>
            <w:ind w:left="-142" w:right="-113"/>
            <w:jc w:val="center"/>
            <w:rPr>
              <w:rFonts w:asciiTheme="majorBidi" w:hAnsiTheme="majorBidi" w:cstheme="majorBidi"/>
              <w:b/>
              <w:sz w:val="12"/>
            </w:rPr>
          </w:pPr>
        </w:p>
        <w:p w14:paraId="10C62740" w14:textId="77777777" w:rsidR="00D72B18" w:rsidRPr="00D72B18" w:rsidRDefault="00D72B18" w:rsidP="00D72B18">
          <w:pPr>
            <w:pStyle w:val="stBilgi"/>
            <w:tabs>
              <w:tab w:val="clear" w:pos="4536"/>
              <w:tab w:val="clear" w:pos="9072"/>
            </w:tabs>
            <w:ind w:left="-142" w:right="-113"/>
            <w:jc w:val="center"/>
            <w:rPr>
              <w:rFonts w:ascii="Arial" w:hAnsi="Arial"/>
              <w:b/>
            </w:rPr>
          </w:pPr>
          <w:r w:rsidRPr="00C17D1A">
            <w:rPr>
              <w:rFonts w:asciiTheme="majorBidi" w:hAnsiTheme="majorBidi" w:cstheme="majorBidi"/>
              <w:b/>
            </w:rPr>
            <w:t>Karatay Vilayetlere Hizmet Götürme Birliği Anaokulu</w:t>
          </w:r>
        </w:p>
      </w:tc>
      <w:tc>
        <w:tcPr>
          <w:tcW w:w="1418" w:type="dxa"/>
          <w:vAlign w:val="center"/>
        </w:tcPr>
        <w:p w14:paraId="1CDC6C96" w14:textId="77777777" w:rsidR="00D72B18" w:rsidRPr="00C17D1A" w:rsidRDefault="00D72B18" w:rsidP="00C17D1A">
          <w:pPr>
            <w:pStyle w:val="stBilgi"/>
            <w:rPr>
              <w:rFonts w:asciiTheme="majorBidi" w:hAnsiTheme="majorBidi" w:cstheme="majorBidi"/>
            </w:rPr>
          </w:pPr>
          <w:r w:rsidRPr="00C17D1A">
            <w:rPr>
              <w:rFonts w:asciiTheme="majorBidi" w:hAnsiTheme="majorBidi" w:cstheme="majorBidi"/>
            </w:rPr>
            <w:t>Doküman No</w:t>
          </w:r>
        </w:p>
      </w:tc>
      <w:tc>
        <w:tcPr>
          <w:tcW w:w="1276" w:type="dxa"/>
          <w:vAlign w:val="center"/>
        </w:tcPr>
        <w:p w14:paraId="4F3E8205" w14:textId="77777777" w:rsidR="00D72B18" w:rsidRPr="00C17D1A" w:rsidRDefault="003361CD" w:rsidP="00C17D1A">
          <w:pPr>
            <w:pStyle w:val="stBilgi"/>
            <w:rPr>
              <w:rFonts w:asciiTheme="majorBidi" w:hAnsiTheme="majorBidi" w:cstheme="majorBidi"/>
            </w:rPr>
          </w:pPr>
          <w:r w:rsidRPr="003361CD">
            <w:rPr>
              <w:rFonts w:asciiTheme="majorBidi" w:hAnsiTheme="majorBidi" w:cstheme="majorBidi"/>
            </w:rPr>
            <w:t>05.12.TL.08</w:t>
          </w:r>
        </w:p>
      </w:tc>
    </w:tr>
    <w:tr w:rsidR="00D72B18" w14:paraId="21E1D30C" w14:textId="77777777" w:rsidTr="00744A9F">
      <w:trPr>
        <w:trHeight w:val="328"/>
      </w:trPr>
      <w:tc>
        <w:tcPr>
          <w:tcW w:w="1681" w:type="dxa"/>
          <w:vMerge/>
        </w:tcPr>
        <w:p w14:paraId="50649F7F" w14:textId="77777777" w:rsidR="00D72B18" w:rsidRDefault="00D72B18">
          <w:pPr>
            <w:pStyle w:val="stBilgi"/>
          </w:pPr>
        </w:p>
      </w:tc>
      <w:tc>
        <w:tcPr>
          <w:tcW w:w="6116" w:type="dxa"/>
          <w:vMerge/>
        </w:tcPr>
        <w:p w14:paraId="3F479E88" w14:textId="77777777" w:rsidR="00D72B18" w:rsidRDefault="00D72B18">
          <w:pPr>
            <w:pStyle w:val="stBilgi"/>
          </w:pPr>
        </w:p>
      </w:tc>
      <w:tc>
        <w:tcPr>
          <w:tcW w:w="1418" w:type="dxa"/>
          <w:vAlign w:val="center"/>
        </w:tcPr>
        <w:p w14:paraId="3999A79D" w14:textId="77777777" w:rsidR="00D72B18" w:rsidRPr="00C17D1A" w:rsidRDefault="00D72B18" w:rsidP="00C17D1A">
          <w:pPr>
            <w:pStyle w:val="stBilgi"/>
            <w:rPr>
              <w:rFonts w:asciiTheme="majorBidi" w:hAnsiTheme="majorBidi" w:cstheme="majorBidi"/>
            </w:rPr>
          </w:pPr>
          <w:r w:rsidRPr="00C17D1A">
            <w:rPr>
              <w:rFonts w:asciiTheme="majorBidi" w:hAnsiTheme="majorBidi" w:cstheme="majorBidi"/>
            </w:rPr>
            <w:t>Revizyon No</w:t>
          </w:r>
        </w:p>
      </w:tc>
      <w:tc>
        <w:tcPr>
          <w:tcW w:w="1276" w:type="dxa"/>
          <w:vAlign w:val="center"/>
        </w:tcPr>
        <w:p w14:paraId="56C01491" w14:textId="77777777" w:rsidR="00D72B18" w:rsidRPr="00C17D1A" w:rsidRDefault="00D72B18" w:rsidP="00C17D1A">
          <w:pPr>
            <w:pStyle w:val="stBilgi"/>
            <w:rPr>
              <w:rFonts w:asciiTheme="majorBidi" w:hAnsiTheme="majorBidi" w:cstheme="majorBidi"/>
            </w:rPr>
          </w:pPr>
          <w:r w:rsidRPr="00C17D1A">
            <w:rPr>
              <w:rFonts w:asciiTheme="majorBidi" w:hAnsiTheme="majorBidi" w:cstheme="majorBidi"/>
            </w:rPr>
            <w:t>00</w:t>
          </w:r>
        </w:p>
      </w:tc>
    </w:tr>
    <w:tr w:rsidR="00D72B18" w14:paraId="1F01430A" w14:textId="77777777" w:rsidTr="00744A9F">
      <w:trPr>
        <w:trHeight w:val="328"/>
      </w:trPr>
      <w:tc>
        <w:tcPr>
          <w:tcW w:w="1681" w:type="dxa"/>
          <w:vMerge/>
        </w:tcPr>
        <w:p w14:paraId="6F6A3B10" w14:textId="77777777" w:rsidR="00D72B18" w:rsidRDefault="00D72B18">
          <w:pPr>
            <w:pStyle w:val="stBilgi"/>
          </w:pPr>
        </w:p>
      </w:tc>
      <w:tc>
        <w:tcPr>
          <w:tcW w:w="6116" w:type="dxa"/>
          <w:vMerge/>
        </w:tcPr>
        <w:p w14:paraId="5968CE7F" w14:textId="77777777" w:rsidR="00D72B18" w:rsidRDefault="00D72B18">
          <w:pPr>
            <w:pStyle w:val="stBilgi"/>
          </w:pPr>
        </w:p>
      </w:tc>
      <w:tc>
        <w:tcPr>
          <w:tcW w:w="1418" w:type="dxa"/>
          <w:vAlign w:val="center"/>
        </w:tcPr>
        <w:p w14:paraId="24C6B761" w14:textId="77777777" w:rsidR="00D72B18" w:rsidRPr="00C17D1A" w:rsidRDefault="00D72B18" w:rsidP="00C17D1A">
          <w:pPr>
            <w:pStyle w:val="stBilgi"/>
            <w:rPr>
              <w:rFonts w:asciiTheme="majorBidi" w:hAnsiTheme="majorBidi" w:cstheme="majorBidi"/>
            </w:rPr>
          </w:pPr>
          <w:r w:rsidRPr="00C17D1A">
            <w:rPr>
              <w:rFonts w:asciiTheme="majorBidi" w:hAnsiTheme="majorBidi" w:cstheme="majorBidi"/>
            </w:rPr>
            <w:t>Yayın Tarihi</w:t>
          </w:r>
        </w:p>
      </w:tc>
      <w:tc>
        <w:tcPr>
          <w:tcW w:w="1276" w:type="dxa"/>
          <w:vAlign w:val="center"/>
        </w:tcPr>
        <w:p w14:paraId="7675C486" w14:textId="77777777" w:rsidR="00D72B18" w:rsidRPr="00C17D1A" w:rsidRDefault="00D72B18" w:rsidP="00C17D1A">
          <w:pPr>
            <w:pStyle w:val="stBilgi"/>
            <w:rPr>
              <w:rFonts w:asciiTheme="majorBidi" w:hAnsiTheme="majorBidi" w:cstheme="majorBidi"/>
            </w:rPr>
          </w:pPr>
          <w:r w:rsidRPr="00C17D1A">
            <w:rPr>
              <w:rFonts w:asciiTheme="majorBidi" w:hAnsiTheme="majorBidi" w:cstheme="majorBidi"/>
            </w:rPr>
            <w:t>16.03.2022</w:t>
          </w:r>
        </w:p>
      </w:tc>
    </w:tr>
    <w:tr w:rsidR="00D72B18" w14:paraId="6626DAE5" w14:textId="77777777" w:rsidTr="00744A9F">
      <w:trPr>
        <w:trHeight w:val="328"/>
      </w:trPr>
      <w:tc>
        <w:tcPr>
          <w:tcW w:w="1681" w:type="dxa"/>
          <w:vMerge/>
        </w:tcPr>
        <w:p w14:paraId="0E75A1F0" w14:textId="77777777" w:rsidR="00D72B18" w:rsidRDefault="00D72B18">
          <w:pPr>
            <w:pStyle w:val="stBilgi"/>
          </w:pPr>
        </w:p>
      </w:tc>
      <w:tc>
        <w:tcPr>
          <w:tcW w:w="6116" w:type="dxa"/>
          <w:vMerge w:val="restart"/>
          <w:vAlign w:val="center"/>
        </w:tcPr>
        <w:p w14:paraId="51D23CB8" w14:textId="77777777" w:rsidR="00D72B18" w:rsidRPr="00C17D1A" w:rsidRDefault="003361CD" w:rsidP="00C17D1A">
          <w:pPr>
            <w:pStyle w:val="stBilgi"/>
            <w:jc w:val="center"/>
            <w:rPr>
              <w:rFonts w:asciiTheme="majorBidi" w:hAnsiTheme="majorBidi" w:cstheme="majorBidi"/>
              <w:sz w:val="24"/>
              <w:szCs w:val="24"/>
            </w:rPr>
          </w:pPr>
          <w:r w:rsidRPr="003361CD">
            <w:rPr>
              <w:rFonts w:asciiTheme="majorBidi" w:hAnsiTheme="majorBidi" w:cstheme="majorBidi"/>
              <w:sz w:val="24"/>
              <w:szCs w:val="24"/>
            </w:rPr>
            <w:t>YANGIN ÖNLEME TALİMATI</w:t>
          </w:r>
        </w:p>
      </w:tc>
      <w:tc>
        <w:tcPr>
          <w:tcW w:w="1418" w:type="dxa"/>
          <w:vAlign w:val="center"/>
        </w:tcPr>
        <w:p w14:paraId="09703218" w14:textId="77777777" w:rsidR="00D72B18" w:rsidRPr="00C17D1A" w:rsidRDefault="00D72B18" w:rsidP="00C17D1A">
          <w:pPr>
            <w:pStyle w:val="stBilgi"/>
            <w:rPr>
              <w:rFonts w:asciiTheme="majorBidi" w:hAnsiTheme="majorBidi" w:cstheme="majorBidi"/>
            </w:rPr>
          </w:pPr>
          <w:r w:rsidRPr="00C17D1A">
            <w:rPr>
              <w:rFonts w:asciiTheme="majorBidi" w:hAnsiTheme="majorBidi" w:cstheme="majorBidi"/>
            </w:rPr>
            <w:t>Sayfa No</w:t>
          </w:r>
        </w:p>
      </w:tc>
      <w:tc>
        <w:tcPr>
          <w:tcW w:w="1276" w:type="dxa"/>
          <w:vAlign w:val="center"/>
        </w:tcPr>
        <w:p w14:paraId="303E6EA1" w14:textId="77777777" w:rsidR="00D72B18" w:rsidRPr="00C17D1A" w:rsidRDefault="00D72B18" w:rsidP="00C17D1A">
          <w:pPr>
            <w:pStyle w:val="stBilgi"/>
            <w:rPr>
              <w:rFonts w:asciiTheme="majorBidi" w:hAnsiTheme="majorBidi" w:cstheme="majorBidi"/>
            </w:rPr>
          </w:pPr>
          <w:r w:rsidRPr="00C17D1A">
            <w:rPr>
              <w:rFonts w:asciiTheme="majorBidi" w:hAnsiTheme="majorBidi" w:cstheme="majorBidi"/>
            </w:rPr>
            <w:fldChar w:fldCharType="begin"/>
          </w:r>
          <w:r w:rsidRPr="00C17D1A">
            <w:rPr>
              <w:rFonts w:asciiTheme="majorBidi" w:hAnsiTheme="majorBidi" w:cstheme="majorBidi"/>
            </w:rPr>
            <w:instrText>PAGE   \* MERGEFORMAT</w:instrText>
          </w:r>
          <w:r w:rsidRPr="00C17D1A">
            <w:rPr>
              <w:rFonts w:asciiTheme="majorBidi" w:hAnsiTheme="majorBidi" w:cstheme="majorBidi"/>
            </w:rPr>
            <w:fldChar w:fldCharType="separate"/>
          </w:r>
          <w:r w:rsidR="003361CD">
            <w:rPr>
              <w:rFonts w:asciiTheme="majorBidi" w:hAnsiTheme="majorBidi" w:cstheme="majorBidi"/>
              <w:noProof/>
            </w:rPr>
            <w:t>1</w:t>
          </w:r>
          <w:r w:rsidRPr="00C17D1A">
            <w:rPr>
              <w:rFonts w:asciiTheme="majorBidi" w:hAnsiTheme="majorBidi" w:cstheme="majorBidi"/>
            </w:rPr>
            <w:fldChar w:fldCharType="end"/>
          </w:r>
          <w:r w:rsidR="003361CD">
            <w:rPr>
              <w:rFonts w:asciiTheme="majorBidi" w:hAnsiTheme="majorBidi" w:cstheme="majorBidi"/>
            </w:rPr>
            <w:t>/2</w:t>
          </w:r>
        </w:p>
      </w:tc>
    </w:tr>
    <w:tr w:rsidR="00D72B18" w14:paraId="4105CD6B" w14:textId="77777777" w:rsidTr="00744A9F">
      <w:trPr>
        <w:trHeight w:val="328"/>
      </w:trPr>
      <w:tc>
        <w:tcPr>
          <w:tcW w:w="1681" w:type="dxa"/>
          <w:vMerge/>
        </w:tcPr>
        <w:p w14:paraId="7BA87D2C" w14:textId="77777777" w:rsidR="00D72B18" w:rsidRDefault="00D72B18">
          <w:pPr>
            <w:pStyle w:val="stBilgi"/>
          </w:pPr>
        </w:p>
      </w:tc>
      <w:tc>
        <w:tcPr>
          <w:tcW w:w="6116" w:type="dxa"/>
          <w:vMerge/>
        </w:tcPr>
        <w:p w14:paraId="09D6F61A" w14:textId="77777777" w:rsidR="00D72B18" w:rsidRDefault="00D72B18">
          <w:pPr>
            <w:pStyle w:val="stBilgi"/>
          </w:pPr>
        </w:p>
      </w:tc>
      <w:tc>
        <w:tcPr>
          <w:tcW w:w="1418" w:type="dxa"/>
          <w:vAlign w:val="center"/>
        </w:tcPr>
        <w:p w14:paraId="16ABF354" w14:textId="77777777" w:rsidR="00D72B18" w:rsidRPr="00C17D1A" w:rsidRDefault="00D72B18" w:rsidP="00C17D1A">
          <w:pPr>
            <w:pStyle w:val="stBilgi"/>
            <w:rPr>
              <w:rFonts w:asciiTheme="majorBidi" w:hAnsiTheme="majorBidi" w:cstheme="majorBidi"/>
            </w:rPr>
          </w:pPr>
          <w:r w:rsidRPr="00C17D1A">
            <w:rPr>
              <w:rFonts w:asciiTheme="majorBidi" w:hAnsiTheme="majorBidi" w:cstheme="majorBidi"/>
            </w:rPr>
            <w:t>Kurum Kodu</w:t>
          </w:r>
        </w:p>
      </w:tc>
      <w:tc>
        <w:tcPr>
          <w:tcW w:w="1276" w:type="dxa"/>
          <w:vAlign w:val="center"/>
        </w:tcPr>
        <w:p w14:paraId="5DA2939D" w14:textId="77777777" w:rsidR="00D72B18" w:rsidRPr="00C17D1A" w:rsidRDefault="00D72B18" w:rsidP="00C17D1A">
          <w:pPr>
            <w:pStyle w:val="stBilgi"/>
            <w:rPr>
              <w:rFonts w:asciiTheme="majorBidi" w:hAnsiTheme="majorBidi" w:cstheme="majorBidi"/>
            </w:rPr>
          </w:pPr>
          <w:r w:rsidRPr="00C17D1A">
            <w:rPr>
              <w:rFonts w:asciiTheme="majorBidi" w:hAnsiTheme="majorBidi" w:cstheme="majorBidi"/>
            </w:rPr>
            <w:t>974515</w:t>
          </w:r>
        </w:p>
      </w:tc>
    </w:tr>
  </w:tbl>
  <w:p w14:paraId="16A6647B" w14:textId="77777777" w:rsidR="008321B6" w:rsidRDefault="008321B6" w:rsidP="00D72B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F6D"/>
    <w:rsid w:val="00034170"/>
    <w:rsid w:val="000C00A5"/>
    <w:rsid w:val="00142BCB"/>
    <w:rsid w:val="0015316C"/>
    <w:rsid w:val="001612F5"/>
    <w:rsid w:val="001973D9"/>
    <w:rsid w:val="001B7310"/>
    <w:rsid w:val="00204A71"/>
    <w:rsid w:val="002C5EC8"/>
    <w:rsid w:val="003361CD"/>
    <w:rsid w:val="00646A1B"/>
    <w:rsid w:val="00744A9F"/>
    <w:rsid w:val="00785399"/>
    <w:rsid w:val="008321B6"/>
    <w:rsid w:val="008C055C"/>
    <w:rsid w:val="00B90730"/>
    <w:rsid w:val="00BF117F"/>
    <w:rsid w:val="00C028B8"/>
    <w:rsid w:val="00C17D1A"/>
    <w:rsid w:val="00CA1E0C"/>
    <w:rsid w:val="00D72B18"/>
    <w:rsid w:val="00D75739"/>
    <w:rsid w:val="00E442BE"/>
    <w:rsid w:val="00E60F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7C280"/>
  <w15:docId w15:val="{AAE4FDA9-BCCF-4771-8E20-28B74E1D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1CD"/>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D72B18"/>
    <w:pPr>
      <w:keepNext/>
      <w:jc w:val="center"/>
      <w:outlineLvl w:val="1"/>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21B6"/>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8321B6"/>
  </w:style>
  <w:style w:type="paragraph" w:styleId="AltBilgi">
    <w:name w:val="footer"/>
    <w:basedOn w:val="Normal"/>
    <w:link w:val="AltBilgiChar"/>
    <w:uiPriority w:val="99"/>
    <w:unhideWhenUsed/>
    <w:rsid w:val="008321B6"/>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8321B6"/>
  </w:style>
  <w:style w:type="table" w:styleId="TabloKlavuzu">
    <w:name w:val="Table Grid"/>
    <w:basedOn w:val="NormalTablo"/>
    <w:uiPriority w:val="59"/>
    <w:rsid w:val="00832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D72B18"/>
    <w:rPr>
      <w:rFonts w:ascii="Arial" w:eastAsia="Times New Roman" w:hAnsi="Arial" w:cs="Times New Roman"/>
      <w:b/>
      <w:sz w:val="24"/>
      <w:szCs w:val="20"/>
      <w:lang w:eastAsia="tr-TR"/>
    </w:rPr>
  </w:style>
  <w:style w:type="paragraph" w:styleId="GvdeMetni2">
    <w:name w:val="Body Text 2"/>
    <w:basedOn w:val="Normal"/>
    <w:link w:val="GvdeMetni2Char"/>
    <w:rsid w:val="00D72B18"/>
    <w:pPr>
      <w:jc w:val="center"/>
    </w:pPr>
    <w:rPr>
      <w:rFonts w:ascii="Tahoma" w:hAnsi="Tahoma"/>
      <w:b/>
      <w:sz w:val="24"/>
    </w:rPr>
  </w:style>
  <w:style w:type="character" w:customStyle="1" w:styleId="GvdeMetni2Char">
    <w:name w:val="Gövde Metni 2 Char"/>
    <w:basedOn w:val="VarsaylanParagrafYazTipi"/>
    <w:link w:val="GvdeMetni2"/>
    <w:rsid w:val="00D72B18"/>
    <w:rPr>
      <w:rFonts w:ascii="Tahoma" w:eastAsia="Times New Roman" w:hAnsi="Tahoma" w:cs="Times New Roman"/>
      <w:b/>
      <w:sz w:val="24"/>
      <w:szCs w:val="20"/>
      <w:lang w:eastAsia="tr-TR"/>
    </w:rPr>
  </w:style>
  <w:style w:type="character" w:styleId="Kpr">
    <w:name w:val="Hyperlink"/>
    <w:uiPriority w:val="99"/>
    <w:unhideWhenUsed/>
    <w:rsid w:val="00336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04-&#304;SG\04.05-TS%20ISO%209001%20-%2045001%20-%2014001%20D&#246;k&#252;manlar&#305;\zz-Vialayetler%20Anaokulu%20-%20TS%209001-45001\05-%20DESTEK\05.12%20Yang&#305;n%20&#214;nleme%20Talimat&#305;%20ve%20Formu\05.12.FR.15%20Yang&#305;n%20T&#252;pleri%20Takip%20Formu.doc" TargetMode="External"/><Relationship Id="rId3" Type="http://schemas.openxmlformats.org/officeDocument/2006/relationships/settings" Target="settings.xml"/><Relationship Id="rId7" Type="http://schemas.openxmlformats.org/officeDocument/2006/relationships/hyperlink" Target="05.12.FR.15%20Yang&#305;n%20T&#252;pleri%20Takip%20Formu.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08F9-1BBB-46F7-85AB-73A4A52A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439</Words>
  <Characters>2505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ASUS</cp:lastModifiedBy>
  <cp:revision>6</cp:revision>
  <dcterms:created xsi:type="dcterms:W3CDTF">2024-01-08T18:05:00Z</dcterms:created>
  <dcterms:modified xsi:type="dcterms:W3CDTF">2024-08-16T10:14:00Z</dcterms:modified>
</cp:coreProperties>
</file>