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FE" w:rsidRPr="00634EFE" w:rsidRDefault="00634EFE" w:rsidP="00634EFE">
      <w:pPr>
        <w:spacing w:after="0" w:line="240" w:lineRule="auto"/>
        <w:ind w:left="-284"/>
        <w:jc w:val="both"/>
        <w:rPr>
          <w:rFonts w:ascii="Times New Roman" w:eastAsia="Times New Roman" w:hAnsi="Times New Roman" w:cs="Times New Roman"/>
          <w:b/>
          <w:sz w:val="23"/>
          <w:szCs w:val="23"/>
          <w:lang w:eastAsia="tr-TR"/>
        </w:rPr>
      </w:pPr>
      <w:r w:rsidRPr="00634EFE">
        <w:rPr>
          <w:rFonts w:ascii="Times New Roman" w:eastAsia="Times New Roman" w:hAnsi="Times New Roman" w:cs="Times New Roman"/>
          <w:b/>
          <w:sz w:val="23"/>
          <w:szCs w:val="23"/>
          <w:lang w:eastAsia="tr-TR"/>
        </w:rPr>
        <w:t xml:space="preserve">1. AMAÇ </w:t>
      </w:r>
    </w:p>
    <w:p w:rsidR="00634EFE" w:rsidRPr="00634EFE" w:rsidRDefault="00634EFE" w:rsidP="00634EFE">
      <w:pPr>
        <w:spacing w:after="0" w:line="240" w:lineRule="auto"/>
        <w:ind w:left="-284"/>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sz w:val="23"/>
          <w:szCs w:val="23"/>
          <w:lang w:eastAsia="tr-TR"/>
        </w:rPr>
        <w:t xml:space="preserve">Bu talimatın amacı; </w:t>
      </w:r>
      <w:r w:rsidRPr="00634EFE">
        <w:rPr>
          <w:rFonts w:ascii="Times New Roman" w:eastAsia="Times New Roman" w:hAnsi="Times New Roman" w:cs="Times New Roman"/>
          <w:b/>
          <w:sz w:val="23"/>
          <w:szCs w:val="23"/>
          <w:lang w:eastAsia="tr-TR"/>
        </w:rPr>
        <w:t xml:space="preserve">KARATAY VİLAYETLERE HİZMET GÖTÜRME BİRLİĞİ ANAOKULUNDA </w:t>
      </w:r>
      <w:r w:rsidRPr="00634EFE">
        <w:rPr>
          <w:rFonts w:ascii="Times New Roman" w:eastAsia="Times New Roman" w:hAnsi="Times New Roman" w:cs="Times New Roman"/>
          <w:sz w:val="23"/>
          <w:szCs w:val="23"/>
          <w:lang w:eastAsia="tr-TR"/>
        </w:rPr>
        <w:t>çalışan tüm personelin uymak zorunda olduğu iş sağlığı ve iş güvenliği ile ilgili kuralları belirlemektir.</w:t>
      </w:r>
    </w:p>
    <w:p w:rsidR="00634EFE" w:rsidRPr="00634EFE" w:rsidRDefault="00634EFE" w:rsidP="00634EFE">
      <w:pPr>
        <w:spacing w:after="0" w:line="240" w:lineRule="auto"/>
        <w:ind w:left="-284"/>
        <w:jc w:val="both"/>
        <w:rPr>
          <w:rFonts w:ascii="Times New Roman" w:eastAsia="Times New Roman" w:hAnsi="Times New Roman" w:cs="Times New Roman"/>
          <w:sz w:val="23"/>
          <w:szCs w:val="23"/>
          <w:lang w:eastAsia="tr-TR"/>
        </w:rPr>
      </w:pPr>
    </w:p>
    <w:p w:rsidR="00634EFE" w:rsidRPr="00634EFE" w:rsidRDefault="00634EFE" w:rsidP="00634EFE">
      <w:pPr>
        <w:spacing w:after="0" w:line="240" w:lineRule="auto"/>
        <w:ind w:left="-284"/>
        <w:jc w:val="both"/>
        <w:rPr>
          <w:rFonts w:ascii="Times New Roman" w:eastAsia="Times New Roman" w:hAnsi="Times New Roman" w:cs="Times New Roman"/>
          <w:b/>
          <w:sz w:val="23"/>
          <w:szCs w:val="23"/>
          <w:lang w:eastAsia="tr-TR"/>
        </w:rPr>
      </w:pPr>
      <w:r w:rsidRPr="00634EFE">
        <w:rPr>
          <w:rFonts w:ascii="Times New Roman" w:eastAsia="Times New Roman" w:hAnsi="Times New Roman" w:cs="Times New Roman"/>
          <w:b/>
          <w:sz w:val="23"/>
          <w:szCs w:val="23"/>
          <w:lang w:eastAsia="tr-TR"/>
        </w:rPr>
        <w:t>2. SORUMLULUK VE YETKİLER</w:t>
      </w:r>
    </w:p>
    <w:p w:rsidR="00634EFE" w:rsidRPr="00634EFE" w:rsidRDefault="00634EFE" w:rsidP="00634EFE">
      <w:pPr>
        <w:spacing w:after="0" w:line="240" w:lineRule="exact"/>
        <w:ind w:left="-284"/>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sz w:val="23"/>
          <w:szCs w:val="23"/>
          <w:lang w:eastAsia="tr-TR"/>
        </w:rPr>
        <w:t>Bu talimatın uygulanmasından,</w:t>
      </w:r>
      <w:r w:rsidRPr="00634EFE">
        <w:rPr>
          <w:rFonts w:ascii="Times New Roman" w:eastAsia="Times New Roman" w:hAnsi="Times New Roman" w:cs="Times New Roman"/>
          <w:color w:val="FF0000"/>
          <w:sz w:val="23"/>
          <w:szCs w:val="23"/>
          <w:lang w:eastAsia="tr-TR"/>
        </w:rPr>
        <w:t xml:space="preserve"> </w:t>
      </w:r>
      <w:r w:rsidRPr="00634EFE">
        <w:rPr>
          <w:rFonts w:ascii="Times New Roman" w:eastAsia="Times New Roman" w:hAnsi="Times New Roman" w:cs="Times New Roman"/>
          <w:b/>
          <w:color w:val="00B050"/>
          <w:sz w:val="23"/>
          <w:szCs w:val="23"/>
          <w:lang w:eastAsia="tr-TR"/>
        </w:rPr>
        <w:t>İdari</w:t>
      </w:r>
      <w:r w:rsidRPr="00634EFE">
        <w:rPr>
          <w:rFonts w:ascii="Times New Roman" w:eastAsia="Times New Roman" w:hAnsi="Times New Roman" w:cs="Times New Roman"/>
          <w:sz w:val="23"/>
          <w:szCs w:val="23"/>
          <w:lang w:eastAsia="tr-TR"/>
        </w:rPr>
        <w:t xml:space="preserve"> personel sorumludur. </w:t>
      </w:r>
    </w:p>
    <w:p w:rsidR="00634EFE" w:rsidRPr="00634EFE" w:rsidRDefault="00634EFE" w:rsidP="00634EFE">
      <w:pPr>
        <w:spacing w:after="0" w:line="240" w:lineRule="auto"/>
        <w:ind w:left="-284"/>
        <w:jc w:val="both"/>
        <w:rPr>
          <w:rFonts w:ascii="Times New Roman" w:eastAsia="Times New Roman" w:hAnsi="Times New Roman" w:cs="Times New Roman"/>
          <w:sz w:val="23"/>
          <w:szCs w:val="23"/>
          <w:lang w:eastAsia="tr-TR"/>
        </w:rPr>
      </w:pPr>
    </w:p>
    <w:p w:rsidR="00634EFE" w:rsidRPr="00634EFE" w:rsidRDefault="00634EFE" w:rsidP="00634EFE">
      <w:pPr>
        <w:spacing w:after="0" w:line="240" w:lineRule="auto"/>
        <w:ind w:left="-284"/>
        <w:jc w:val="both"/>
        <w:rPr>
          <w:rFonts w:ascii="Times New Roman" w:eastAsia="Times New Roman" w:hAnsi="Times New Roman" w:cs="Times New Roman"/>
          <w:b/>
          <w:sz w:val="23"/>
          <w:szCs w:val="23"/>
          <w:lang w:eastAsia="tr-TR"/>
        </w:rPr>
      </w:pPr>
      <w:r w:rsidRPr="00634EFE">
        <w:rPr>
          <w:rFonts w:ascii="Times New Roman" w:eastAsia="Times New Roman" w:hAnsi="Times New Roman" w:cs="Times New Roman"/>
          <w:b/>
          <w:sz w:val="23"/>
          <w:szCs w:val="23"/>
          <w:lang w:eastAsia="tr-TR"/>
        </w:rPr>
        <w:t xml:space="preserve">3. UYGULAMA </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 xml:space="preserve">3.1. </w:t>
      </w:r>
      <w:r w:rsidRPr="00634EFE">
        <w:rPr>
          <w:rFonts w:ascii="Times New Roman" w:eastAsia="Times New Roman" w:hAnsi="Times New Roman" w:cs="Times New Roman"/>
          <w:sz w:val="23"/>
          <w:szCs w:val="23"/>
          <w:lang w:eastAsia="tr-TR"/>
        </w:rPr>
        <w:t xml:space="preserve">İşe yeni alınan her personelin bulaşıcı bir hastalık taşımadığına dair sağlık raporu getirmesi istenir. </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3.2.</w:t>
      </w:r>
      <w:r w:rsidRPr="00634EFE">
        <w:rPr>
          <w:rFonts w:ascii="Times New Roman" w:eastAsia="Times New Roman" w:hAnsi="Times New Roman" w:cs="Times New Roman"/>
          <w:sz w:val="23"/>
          <w:szCs w:val="23"/>
          <w:lang w:eastAsia="tr-TR"/>
        </w:rPr>
        <w:t xml:space="preserve"> Çalışan personel belirlenen aralıklarla </w:t>
      </w:r>
      <w:proofErr w:type="gramStart"/>
      <w:r w:rsidRPr="00634EFE">
        <w:rPr>
          <w:rFonts w:ascii="Times New Roman" w:eastAsia="Times New Roman" w:hAnsi="Times New Roman" w:cs="Times New Roman"/>
          <w:sz w:val="23"/>
          <w:szCs w:val="23"/>
          <w:lang w:eastAsia="tr-TR"/>
        </w:rPr>
        <w:t>hijyen</w:t>
      </w:r>
      <w:proofErr w:type="gramEnd"/>
      <w:r w:rsidRPr="00634EFE">
        <w:rPr>
          <w:rFonts w:ascii="Times New Roman" w:eastAsia="Times New Roman" w:hAnsi="Times New Roman" w:cs="Times New Roman"/>
          <w:sz w:val="23"/>
          <w:szCs w:val="23"/>
          <w:lang w:eastAsia="tr-TR"/>
        </w:rPr>
        <w:t xml:space="preserve"> eğitiminden geçirilir.</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 xml:space="preserve">3.3. </w:t>
      </w:r>
      <w:r w:rsidRPr="00634EFE">
        <w:rPr>
          <w:rFonts w:ascii="Times New Roman" w:eastAsia="Times New Roman" w:hAnsi="Times New Roman" w:cs="Times New Roman"/>
          <w:sz w:val="23"/>
          <w:szCs w:val="23"/>
          <w:lang w:eastAsia="tr-TR"/>
        </w:rPr>
        <w:t xml:space="preserve">Çalışan personele iş kazalarını ve meslek hastalıklarını önleme sağlıklı beslenme ilk yardım, yangın, acil durum </w:t>
      </w:r>
      <w:proofErr w:type="spellStart"/>
      <w:r w:rsidRPr="00634EFE">
        <w:rPr>
          <w:rFonts w:ascii="Times New Roman" w:eastAsia="Times New Roman" w:hAnsi="Times New Roman" w:cs="Times New Roman"/>
          <w:sz w:val="23"/>
          <w:szCs w:val="23"/>
          <w:lang w:eastAsia="tr-TR"/>
        </w:rPr>
        <w:t>v.b</w:t>
      </w:r>
      <w:proofErr w:type="spellEnd"/>
      <w:r w:rsidRPr="00634EFE">
        <w:rPr>
          <w:rFonts w:ascii="Times New Roman" w:eastAsia="Times New Roman" w:hAnsi="Times New Roman" w:cs="Times New Roman"/>
          <w:sz w:val="23"/>
          <w:szCs w:val="23"/>
          <w:lang w:eastAsia="tr-TR"/>
        </w:rPr>
        <w:t>. gibi iş sağlığı ve güvenliği konusunda bilgi verilir. Konu ile ilgili eğitimler düzenlenir.</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 xml:space="preserve">3.4. </w:t>
      </w:r>
      <w:r w:rsidRPr="00634EFE">
        <w:rPr>
          <w:rFonts w:ascii="Times New Roman" w:eastAsia="Times New Roman" w:hAnsi="Times New Roman" w:cs="Times New Roman"/>
          <w:sz w:val="23"/>
          <w:szCs w:val="23"/>
          <w:lang w:eastAsia="tr-TR"/>
        </w:rPr>
        <w:t>Okulun temizliği, çalışma ortamının havalandırılması, uygun şekilde aydınlatılması ve soğuk dönemlerde ısıtılması görevli personel tarafından belirlenen program ve kurallar çerçevesinde düzenli olarak yapılır. Özellikle mutfak kısmında havalandırma bunlar içerisinde en önemli ve dikkat edilmesi gereken husustur.</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 xml:space="preserve">3.5. </w:t>
      </w:r>
      <w:r w:rsidRPr="00634EFE">
        <w:rPr>
          <w:rFonts w:ascii="Times New Roman" w:eastAsia="Times New Roman" w:hAnsi="Times New Roman" w:cs="Times New Roman"/>
          <w:sz w:val="23"/>
          <w:szCs w:val="23"/>
          <w:lang w:eastAsia="tr-TR"/>
        </w:rPr>
        <w:t xml:space="preserve">Tuvalet, duş yeri gibi ortak kullanım yerleri düzenli olarak temizlenip </w:t>
      </w:r>
      <w:proofErr w:type="gramStart"/>
      <w:r w:rsidRPr="00634EFE">
        <w:rPr>
          <w:rFonts w:ascii="Times New Roman" w:eastAsia="Times New Roman" w:hAnsi="Times New Roman" w:cs="Times New Roman"/>
          <w:sz w:val="23"/>
          <w:szCs w:val="23"/>
          <w:lang w:eastAsia="tr-TR"/>
        </w:rPr>
        <w:t>dezenfekte</w:t>
      </w:r>
      <w:proofErr w:type="gramEnd"/>
      <w:r w:rsidRPr="00634EFE">
        <w:rPr>
          <w:rFonts w:ascii="Times New Roman" w:eastAsia="Times New Roman" w:hAnsi="Times New Roman" w:cs="Times New Roman"/>
          <w:sz w:val="23"/>
          <w:szCs w:val="23"/>
          <w:lang w:eastAsia="tr-TR"/>
        </w:rPr>
        <w:t xml:space="preserve"> edilir.</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 xml:space="preserve">3.6. </w:t>
      </w:r>
      <w:r w:rsidRPr="00634EFE">
        <w:rPr>
          <w:rFonts w:ascii="Times New Roman" w:eastAsia="Times New Roman" w:hAnsi="Times New Roman" w:cs="Times New Roman"/>
          <w:sz w:val="23"/>
          <w:szCs w:val="23"/>
          <w:lang w:eastAsia="tr-TR"/>
        </w:rPr>
        <w:t xml:space="preserve">Mutfak ortamının temiz ve </w:t>
      </w:r>
      <w:proofErr w:type="gramStart"/>
      <w:r w:rsidRPr="00634EFE">
        <w:rPr>
          <w:rFonts w:ascii="Times New Roman" w:eastAsia="Times New Roman" w:hAnsi="Times New Roman" w:cs="Times New Roman"/>
          <w:sz w:val="23"/>
          <w:szCs w:val="23"/>
          <w:lang w:eastAsia="tr-TR"/>
        </w:rPr>
        <w:t>hijyenik</w:t>
      </w:r>
      <w:proofErr w:type="gramEnd"/>
      <w:r w:rsidRPr="00634EFE">
        <w:rPr>
          <w:rFonts w:ascii="Times New Roman" w:eastAsia="Times New Roman" w:hAnsi="Times New Roman" w:cs="Times New Roman"/>
          <w:sz w:val="23"/>
          <w:szCs w:val="23"/>
          <w:lang w:eastAsia="tr-TR"/>
        </w:rPr>
        <w:t xml:space="preserve"> olması çocuklara verilen yemeklerin yeterli kaloride olması sağlanır.</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 xml:space="preserve">3.7. </w:t>
      </w:r>
      <w:r w:rsidRPr="00634EFE">
        <w:rPr>
          <w:rFonts w:ascii="Times New Roman" w:eastAsia="Times New Roman" w:hAnsi="Times New Roman" w:cs="Times New Roman"/>
          <w:sz w:val="23"/>
          <w:szCs w:val="23"/>
          <w:lang w:eastAsia="tr-TR"/>
        </w:rPr>
        <w:t>Okul içinde gerekli görülen yerlere sağlık ve güvenliğe yönelik uyarı levhaları asılır.</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 xml:space="preserve">3.8. </w:t>
      </w:r>
      <w:r w:rsidRPr="00634EFE">
        <w:rPr>
          <w:rFonts w:ascii="Times New Roman" w:eastAsia="Times New Roman" w:hAnsi="Times New Roman" w:cs="Times New Roman"/>
          <w:sz w:val="23"/>
          <w:szCs w:val="23"/>
          <w:lang w:eastAsia="tr-TR"/>
        </w:rPr>
        <w:t>Yapılan işin türüne göre çalışan personelin kullanması gereken iş elbisesi ve koruyucu teçhizat belirlenir. Söz konusu malzemeler personele zimmetli olarak dağıtılır ve belirlenen aralıklarla yenilenir.</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 xml:space="preserve">3.9. </w:t>
      </w:r>
      <w:r w:rsidRPr="00634EFE">
        <w:rPr>
          <w:rFonts w:ascii="Times New Roman" w:eastAsia="Times New Roman" w:hAnsi="Times New Roman" w:cs="Times New Roman"/>
          <w:sz w:val="23"/>
          <w:szCs w:val="23"/>
          <w:lang w:eastAsia="tr-TR"/>
        </w:rPr>
        <w:t xml:space="preserve">Çalışan personel kendisine verilen koruyucu malzemeyi kullanmakla yükümlüdür. Kişisel malzemeler başkaları tarafından kullanılamaz. </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 xml:space="preserve">3.10. </w:t>
      </w:r>
      <w:r w:rsidRPr="00634EFE">
        <w:rPr>
          <w:rFonts w:ascii="Times New Roman" w:eastAsia="Times New Roman" w:hAnsi="Times New Roman" w:cs="Times New Roman"/>
          <w:sz w:val="23"/>
          <w:szCs w:val="23"/>
          <w:lang w:eastAsia="tr-TR"/>
        </w:rPr>
        <w:t xml:space="preserve">İş kazası veya meslek hastalığının vuku bulması halinde İlçe </w:t>
      </w:r>
      <w:r w:rsidRPr="00634EFE">
        <w:rPr>
          <w:rFonts w:ascii="Times New Roman" w:eastAsia="Times New Roman" w:hAnsi="Times New Roman" w:cs="Times New Roman"/>
          <w:b/>
          <w:color w:val="00B050"/>
          <w:sz w:val="23"/>
          <w:szCs w:val="23"/>
          <w:lang w:eastAsia="tr-TR"/>
        </w:rPr>
        <w:t>İSG Uzmanına bilgi verilir</w:t>
      </w:r>
      <w:r w:rsidRPr="00634EFE">
        <w:rPr>
          <w:rFonts w:ascii="Times New Roman" w:eastAsia="Times New Roman" w:hAnsi="Times New Roman" w:cs="Times New Roman"/>
          <w:sz w:val="23"/>
          <w:szCs w:val="23"/>
          <w:lang w:eastAsia="tr-TR"/>
        </w:rPr>
        <w:t xml:space="preserve"> gerekli incelemeyi yapar, konu hakkında Okul Müdürünü bilgilendirir ve olayın tekrarlanmaması için gerekli önlemleri alır. </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 xml:space="preserve">3.11. </w:t>
      </w:r>
      <w:r w:rsidRPr="00634EFE">
        <w:rPr>
          <w:rFonts w:ascii="Times New Roman" w:eastAsia="Times New Roman" w:hAnsi="Times New Roman" w:cs="Times New Roman"/>
          <w:sz w:val="23"/>
          <w:szCs w:val="23"/>
          <w:lang w:eastAsia="tr-TR"/>
        </w:rPr>
        <w:t>Yanıcı, parlayıcı, patlayıcı ve aşındırıcı nitelikteki kimyasal malzemeler özel bölgelerde ve gerekli güvenlik koşulları sağlanmış şekilde depolanır. Uyarıcı levha ve gerekli talimatlarla ilgili personel bilinçlendirilir. Yetkisiz kişilerin bu yerlerde dolaşması ve bu tür malzemeleri kullanması önlenir.</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 xml:space="preserve">3.12. </w:t>
      </w:r>
      <w:r w:rsidRPr="00634EFE">
        <w:rPr>
          <w:rFonts w:ascii="Times New Roman" w:eastAsia="Times New Roman" w:hAnsi="Times New Roman" w:cs="Times New Roman"/>
          <w:sz w:val="23"/>
          <w:szCs w:val="23"/>
          <w:lang w:eastAsia="tr-TR"/>
        </w:rPr>
        <w:t>Elektrik panoları yetkili olmayan kişiler tarafından açılmaz. Elektrik aksamları ile oynanmaz. Herhangi bir arızada ilgili Bölüm Sorumlusuna haber verilir.</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 xml:space="preserve">3.13. </w:t>
      </w:r>
      <w:r w:rsidRPr="00634EFE">
        <w:rPr>
          <w:rFonts w:ascii="Times New Roman" w:eastAsia="Times New Roman" w:hAnsi="Times New Roman" w:cs="Times New Roman"/>
          <w:sz w:val="23"/>
          <w:szCs w:val="23"/>
          <w:lang w:eastAsia="tr-TR"/>
        </w:rPr>
        <w:t>Makine ve cihazlarda belli bir arıza ve aksama görüldüğünde hemen ilgili Bölüm Sorumlusuna bildirilir. Makine, cihazların temizliği yapılırken ana şalter ve ana sigorta düğmesinin kapalı olduğu kontrol edilir.</w:t>
      </w:r>
    </w:p>
    <w:p w:rsidR="00634EFE" w:rsidRPr="00634EFE" w:rsidRDefault="00634EFE" w:rsidP="00634EFE">
      <w:pPr>
        <w:spacing w:before="120" w:after="120" w:line="240" w:lineRule="auto"/>
        <w:ind w:left="284" w:hanging="568"/>
        <w:jc w:val="both"/>
        <w:rPr>
          <w:rFonts w:ascii="Times New Roman" w:eastAsia="Times New Roman" w:hAnsi="Times New Roman" w:cs="Times New Roman"/>
          <w:sz w:val="23"/>
          <w:szCs w:val="23"/>
          <w:lang w:eastAsia="tr-TR"/>
        </w:rPr>
      </w:pPr>
      <w:r w:rsidRPr="00634EFE">
        <w:rPr>
          <w:rFonts w:ascii="Times New Roman" w:eastAsia="Times New Roman" w:hAnsi="Times New Roman" w:cs="Times New Roman"/>
          <w:b/>
          <w:sz w:val="23"/>
          <w:szCs w:val="23"/>
          <w:lang w:eastAsia="tr-TR"/>
        </w:rPr>
        <w:t xml:space="preserve">3.14. </w:t>
      </w:r>
      <w:r w:rsidRPr="00634EFE">
        <w:rPr>
          <w:rFonts w:ascii="Times New Roman" w:eastAsia="Times New Roman" w:hAnsi="Times New Roman" w:cs="Times New Roman"/>
          <w:sz w:val="23"/>
          <w:szCs w:val="23"/>
          <w:lang w:eastAsia="tr-TR"/>
        </w:rPr>
        <w:t xml:space="preserve">Yönetim Temsilcisi tarafından Okulda tam teşekkülü bir ecza dolabı bulundurulur. </w:t>
      </w:r>
    </w:p>
    <w:p w:rsidR="00634EFE" w:rsidRPr="00634EFE" w:rsidRDefault="00634EFE" w:rsidP="00634EFE">
      <w:pPr>
        <w:spacing w:after="0" w:line="240" w:lineRule="auto"/>
        <w:ind w:left="-284"/>
        <w:jc w:val="both"/>
        <w:rPr>
          <w:rFonts w:ascii="Times New Roman" w:eastAsia="Times New Roman" w:hAnsi="Times New Roman" w:cs="Times New Roman"/>
          <w:b/>
          <w:sz w:val="23"/>
          <w:szCs w:val="23"/>
          <w:lang w:eastAsia="tr-TR"/>
        </w:rPr>
      </w:pPr>
      <w:r w:rsidRPr="00634EFE">
        <w:rPr>
          <w:rFonts w:ascii="Times New Roman" w:eastAsia="Times New Roman" w:hAnsi="Times New Roman" w:cs="Times New Roman"/>
          <w:b/>
          <w:sz w:val="23"/>
          <w:szCs w:val="23"/>
          <w:lang w:eastAsia="tr-TR"/>
        </w:rPr>
        <w:t>4. KALİTE KAYITLARI</w:t>
      </w:r>
    </w:p>
    <w:p w:rsidR="00646A1B" w:rsidRPr="00634EFE" w:rsidRDefault="00634EFE" w:rsidP="00634EFE">
      <w:pPr>
        <w:spacing w:after="0" w:line="240" w:lineRule="auto"/>
        <w:ind w:left="-284"/>
        <w:jc w:val="both"/>
        <w:rPr>
          <w:rFonts w:ascii="Times New Roman" w:hAnsi="Times New Roman" w:cs="Times New Roman"/>
          <w:sz w:val="23"/>
          <w:szCs w:val="23"/>
        </w:rPr>
      </w:pPr>
      <w:r w:rsidRPr="00634EFE">
        <w:rPr>
          <w:rFonts w:ascii="Times New Roman" w:eastAsia="Times New Roman" w:hAnsi="Times New Roman" w:cs="Times New Roman"/>
          <w:sz w:val="23"/>
          <w:szCs w:val="23"/>
          <w:lang w:eastAsia="tr-TR"/>
        </w:rPr>
        <w:t>Yok</w:t>
      </w:r>
      <w:bookmarkStart w:id="0" w:name="_GoBack"/>
      <w:bookmarkEnd w:id="0"/>
    </w:p>
    <w:sectPr w:rsidR="00646A1B" w:rsidRPr="00634EFE" w:rsidSect="008321B6">
      <w:headerReference w:type="default" r:id="rId8"/>
      <w:footerReference w:type="default" r:id="rId9"/>
      <w:pgSz w:w="11906" w:h="16838"/>
      <w:pgMar w:top="527" w:right="1134" w:bottom="851" w:left="1134" w:header="567" w:footer="402"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BC5" w:rsidRDefault="00FB7BC5" w:rsidP="008321B6">
      <w:pPr>
        <w:spacing w:after="0" w:line="240" w:lineRule="auto"/>
      </w:pPr>
      <w:r>
        <w:separator/>
      </w:r>
    </w:p>
  </w:endnote>
  <w:endnote w:type="continuationSeparator" w:id="0">
    <w:p w:rsidR="00FB7BC5" w:rsidRDefault="00FB7BC5" w:rsidP="0083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525" w:type="dxa"/>
      <w:tblInd w:w="-318" w:type="dxa"/>
      <w:tblLook w:val="04A0" w:firstRow="1" w:lastRow="0" w:firstColumn="1" w:lastColumn="0" w:noHBand="0" w:noVBand="1"/>
    </w:tblPr>
    <w:tblGrid>
      <w:gridCol w:w="3615"/>
      <w:gridCol w:w="3615"/>
      <w:gridCol w:w="3295"/>
    </w:tblGrid>
    <w:tr w:rsidR="008321B6" w:rsidTr="00D72B18">
      <w:trPr>
        <w:trHeight w:val="1128"/>
      </w:trPr>
      <w:tc>
        <w:tcPr>
          <w:tcW w:w="3615" w:type="dxa"/>
          <w:vAlign w:val="center"/>
        </w:tcPr>
        <w:p w:rsidR="00D72B18" w:rsidRPr="00C17D1A" w:rsidRDefault="00D72B18" w:rsidP="00D72B18">
          <w:pPr>
            <w:pStyle w:val="Balk2"/>
            <w:outlineLvl w:val="1"/>
            <w:rPr>
              <w:rFonts w:asciiTheme="majorBidi" w:hAnsiTheme="majorBidi" w:cstheme="majorBidi"/>
            </w:rPr>
          </w:pPr>
          <w:r w:rsidRPr="00C17D1A">
            <w:rPr>
              <w:rFonts w:asciiTheme="majorBidi" w:hAnsiTheme="majorBidi" w:cstheme="majorBidi"/>
            </w:rPr>
            <w:t>HAZIRLAYAN</w:t>
          </w:r>
        </w:p>
        <w:p w:rsidR="00D72B18" w:rsidRPr="00C17D1A" w:rsidRDefault="00D72B18" w:rsidP="00D72B18">
          <w:pPr>
            <w:jc w:val="center"/>
            <w:rPr>
              <w:rFonts w:asciiTheme="majorBidi" w:hAnsiTheme="majorBidi" w:cstheme="majorBidi"/>
            </w:rPr>
          </w:pPr>
        </w:p>
        <w:p w:rsidR="008321B6" w:rsidRPr="00C17D1A" w:rsidRDefault="00C17D1A" w:rsidP="00D72B18">
          <w:pPr>
            <w:pStyle w:val="GvdeMetni2"/>
            <w:rPr>
              <w:rFonts w:asciiTheme="majorBidi" w:hAnsiTheme="majorBidi" w:cstheme="majorBidi"/>
            </w:rPr>
          </w:pPr>
          <w:r w:rsidRPr="00C17D1A">
            <w:rPr>
              <w:rFonts w:asciiTheme="majorBidi" w:hAnsiTheme="majorBidi" w:cstheme="majorBidi"/>
            </w:rPr>
            <w:t>Yönetim Temsilcisi</w:t>
          </w:r>
        </w:p>
      </w:tc>
      <w:tc>
        <w:tcPr>
          <w:tcW w:w="3615" w:type="dxa"/>
          <w:vAlign w:val="center"/>
        </w:tcPr>
        <w:p w:rsidR="00D72B18" w:rsidRPr="00C17D1A" w:rsidRDefault="00D72B18" w:rsidP="00D72B18">
          <w:pPr>
            <w:pStyle w:val="Balk2"/>
            <w:outlineLvl w:val="1"/>
            <w:rPr>
              <w:rFonts w:asciiTheme="majorBidi" w:hAnsiTheme="majorBidi" w:cstheme="majorBidi"/>
            </w:rPr>
          </w:pPr>
          <w:r w:rsidRPr="00C17D1A">
            <w:rPr>
              <w:rFonts w:asciiTheme="majorBidi" w:hAnsiTheme="majorBidi" w:cstheme="majorBidi"/>
            </w:rPr>
            <w:t>ONAYLAYAN</w:t>
          </w:r>
        </w:p>
        <w:p w:rsidR="00D72B18" w:rsidRPr="00C17D1A" w:rsidRDefault="00D72B18" w:rsidP="00D72B18">
          <w:pPr>
            <w:jc w:val="center"/>
            <w:rPr>
              <w:rFonts w:asciiTheme="majorBidi" w:hAnsiTheme="majorBidi" w:cstheme="majorBidi"/>
            </w:rPr>
          </w:pPr>
        </w:p>
        <w:p w:rsidR="008321B6" w:rsidRPr="00C17D1A" w:rsidRDefault="00C17D1A" w:rsidP="00D72B18">
          <w:pPr>
            <w:jc w:val="center"/>
            <w:rPr>
              <w:rFonts w:asciiTheme="majorBidi" w:hAnsiTheme="majorBidi" w:cstheme="majorBidi"/>
              <w:b/>
              <w:sz w:val="24"/>
            </w:rPr>
          </w:pPr>
          <w:r w:rsidRPr="00C17D1A">
            <w:rPr>
              <w:rFonts w:asciiTheme="majorBidi" w:hAnsiTheme="majorBidi" w:cstheme="majorBidi"/>
              <w:b/>
              <w:sz w:val="24"/>
            </w:rPr>
            <w:t>Okul Müdürü</w:t>
          </w:r>
        </w:p>
      </w:tc>
      <w:tc>
        <w:tcPr>
          <w:tcW w:w="3295" w:type="dxa"/>
        </w:tcPr>
        <w:p w:rsidR="00D72B18" w:rsidRPr="00C17D1A" w:rsidRDefault="00D72B18" w:rsidP="00D72B18">
          <w:pPr>
            <w:jc w:val="center"/>
            <w:rPr>
              <w:rFonts w:asciiTheme="majorBidi" w:hAnsiTheme="majorBidi" w:cstheme="majorBidi"/>
              <w:b/>
              <w:sz w:val="24"/>
            </w:rPr>
          </w:pPr>
        </w:p>
        <w:p w:rsidR="00D72B18" w:rsidRPr="00C17D1A" w:rsidRDefault="00D72B18" w:rsidP="00D72B18">
          <w:pPr>
            <w:jc w:val="center"/>
            <w:rPr>
              <w:rFonts w:asciiTheme="majorBidi" w:hAnsiTheme="majorBidi" w:cstheme="majorBidi"/>
              <w:b/>
              <w:sz w:val="24"/>
            </w:rPr>
          </w:pPr>
          <w:r w:rsidRPr="00C17D1A">
            <w:rPr>
              <w:rFonts w:asciiTheme="majorBidi" w:hAnsiTheme="majorBidi" w:cstheme="majorBidi"/>
              <w:b/>
              <w:sz w:val="24"/>
            </w:rPr>
            <w:t>KAŞE</w:t>
          </w:r>
        </w:p>
        <w:p w:rsidR="008321B6" w:rsidRPr="00C17D1A" w:rsidRDefault="008321B6">
          <w:pPr>
            <w:pStyle w:val="Altbilgi"/>
            <w:rPr>
              <w:rFonts w:asciiTheme="majorBidi" w:hAnsiTheme="majorBidi" w:cstheme="majorBidi"/>
            </w:rPr>
          </w:pPr>
        </w:p>
      </w:tc>
    </w:tr>
  </w:tbl>
  <w:p w:rsidR="008321B6" w:rsidRDefault="008321B6" w:rsidP="008321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BC5" w:rsidRDefault="00FB7BC5" w:rsidP="008321B6">
      <w:pPr>
        <w:spacing w:after="0" w:line="240" w:lineRule="auto"/>
      </w:pPr>
      <w:r>
        <w:separator/>
      </w:r>
    </w:p>
  </w:footnote>
  <w:footnote w:type="continuationSeparator" w:id="0">
    <w:p w:rsidR="00FB7BC5" w:rsidRDefault="00FB7BC5" w:rsidP="00832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91" w:type="dxa"/>
      <w:tblInd w:w="-318" w:type="dxa"/>
      <w:tblLook w:val="04A0" w:firstRow="1" w:lastRow="0" w:firstColumn="1" w:lastColumn="0" w:noHBand="0" w:noVBand="1"/>
    </w:tblPr>
    <w:tblGrid>
      <w:gridCol w:w="1681"/>
      <w:gridCol w:w="6116"/>
      <w:gridCol w:w="1418"/>
      <w:gridCol w:w="1276"/>
    </w:tblGrid>
    <w:tr w:rsidR="00D72B18" w:rsidTr="00744A9F">
      <w:trPr>
        <w:trHeight w:val="328"/>
      </w:trPr>
      <w:tc>
        <w:tcPr>
          <w:tcW w:w="1681" w:type="dxa"/>
          <w:vMerge w:val="restart"/>
        </w:tcPr>
        <w:p w:rsidR="00D72B18" w:rsidRDefault="00D72B18">
          <w:pPr>
            <w:pStyle w:val="stbilgi"/>
          </w:pPr>
          <w:r>
            <w:rPr>
              <w:noProof/>
              <w:lang w:eastAsia="tr-TR"/>
            </w:rPr>
            <w:drawing>
              <wp:anchor distT="0" distB="0" distL="114300" distR="114300" simplePos="0" relativeHeight="251658240" behindDoc="0" locked="0" layoutInCell="1" allowOverlap="1" wp14:anchorId="10646D46" wp14:editId="77C0D6B7">
                <wp:simplePos x="0" y="0"/>
                <wp:positionH relativeFrom="column">
                  <wp:posOffset>-18888</wp:posOffset>
                </wp:positionH>
                <wp:positionV relativeFrom="paragraph">
                  <wp:posOffset>58420</wp:posOffset>
                </wp:positionV>
                <wp:extent cx="978195" cy="965325"/>
                <wp:effectExtent l="0" t="0" r="0" b="635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195" cy="96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16" w:type="dxa"/>
          <w:vMerge w:val="restart"/>
        </w:tcPr>
        <w:p w:rsidR="00D72B18" w:rsidRPr="00C17D1A" w:rsidRDefault="00D72B18" w:rsidP="00D72B18">
          <w:pPr>
            <w:pStyle w:val="stbilgi"/>
            <w:tabs>
              <w:tab w:val="clear" w:pos="4536"/>
              <w:tab w:val="clear" w:pos="9072"/>
            </w:tabs>
            <w:ind w:left="-142" w:right="-113"/>
            <w:jc w:val="center"/>
            <w:rPr>
              <w:rFonts w:asciiTheme="majorBidi" w:hAnsiTheme="majorBidi" w:cstheme="majorBidi"/>
              <w:b/>
              <w:sz w:val="24"/>
            </w:rPr>
          </w:pPr>
          <w:r w:rsidRPr="00C17D1A">
            <w:rPr>
              <w:rFonts w:asciiTheme="majorBidi" w:hAnsiTheme="majorBidi" w:cstheme="majorBidi"/>
              <w:b/>
              <w:sz w:val="24"/>
            </w:rPr>
            <w:t xml:space="preserve">T.C. </w:t>
          </w:r>
        </w:p>
        <w:p w:rsidR="00D72B18" w:rsidRPr="00C17D1A" w:rsidRDefault="00D72B18" w:rsidP="00D72B18">
          <w:pPr>
            <w:pStyle w:val="stbilgi"/>
            <w:tabs>
              <w:tab w:val="clear" w:pos="4536"/>
              <w:tab w:val="clear" w:pos="9072"/>
            </w:tabs>
            <w:ind w:left="-142" w:right="-113"/>
            <w:jc w:val="center"/>
            <w:rPr>
              <w:rFonts w:asciiTheme="majorBidi" w:hAnsiTheme="majorBidi" w:cstheme="majorBidi"/>
              <w:b/>
              <w:sz w:val="24"/>
            </w:rPr>
          </w:pPr>
          <w:r w:rsidRPr="00C17D1A">
            <w:rPr>
              <w:rFonts w:asciiTheme="majorBidi" w:hAnsiTheme="majorBidi" w:cstheme="majorBidi"/>
              <w:b/>
              <w:sz w:val="24"/>
            </w:rPr>
            <w:t>KARATAY KAYMAKAMLIĞI</w:t>
          </w:r>
        </w:p>
        <w:p w:rsidR="00D72B18" w:rsidRPr="00C17D1A" w:rsidRDefault="00D72B18" w:rsidP="00D72B18">
          <w:pPr>
            <w:pStyle w:val="stbilgi"/>
            <w:tabs>
              <w:tab w:val="clear" w:pos="4536"/>
              <w:tab w:val="clear" w:pos="9072"/>
            </w:tabs>
            <w:ind w:left="-142" w:right="-113"/>
            <w:jc w:val="center"/>
            <w:rPr>
              <w:rFonts w:asciiTheme="majorBidi" w:hAnsiTheme="majorBidi" w:cstheme="majorBidi"/>
              <w:b/>
              <w:sz w:val="12"/>
            </w:rPr>
          </w:pPr>
        </w:p>
        <w:p w:rsidR="00D72B18" w:rsidRPr="00D72B18" w:rsidRDefault="00D72B18" w:rsidP="00D72B18">
          <w:pPr>
            <w:pStyle w:val="stbilgi"/>
            <w:tabs>
              <w:tab w:val="clear" w:pos="4536"/>
              <w:tab w:val="clear" w:pos="9072"/>
            </w:tabs>
            <w:ind w:left="-142" w:right="-113"/>
            <w:jc w:val="center"/>
            <w:rPr>
              <w:rFonts w:ascii="Arial" w:hAnsi="Arial"/>
              <w:b/>
            </w:rPr>
          </w:pPr>
          <w:r w:rsidRPr="00C17D1A">
            <w:rPr>
              <w:rFonts w:asciiTheme="majorBidi" w:hAnsiTheme="majorBidi" w:cstheme="majorBidi"/>
              <w:b/>
            </w:rPr>
            <w:t>Karatay Vilayetlere Hizmet Götürme Birliği Anaokulu</w:t>
          </w:r>
        </w:p>
      </w:tc>
      <w:tc>
        <w:tcPr>
          <w:tcW w:w="1418"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Doküman No</w:t>
          </w:r>
        </w:p>
      </w:tc>
      <w:tc>
        <w:tcPr>
          <w:tcW w:w="1276" w:type="dxa"/>
          <w:vAlign w:val="center"/>
        </w:tcPr>
        <w:p w:rsidR="00D72B18" w:rsidRPr="00C17D1A" w:rsidRDefault="00634EFE" w:rsidP="00C17D1A">
          <w:pPr>
            <w:pStyle w:val="stbilgi"/>
            <w:rPr>
              <w:rFonts w:asciiTheme="majorBidi" w:hAnsiTheme="majorBidi" w:cstheme="majorBidi"/>
              <w:sz w:val="20"/>
              <w:szCs w:val="20"/>
            </w:rPr>
          </w:pPr>
          <w:r>
            <w:rPr>
              <w:rFonts w:asciiTheme="majorBidi" w:hAnsiTheme="majorBidi" w:cstheme="majorBidi"/>
              <w:sz w:val="20"/>
              <w:szCs w:val="20"/>
            </w:rPr>
            <w:t>05.10.TL.06</w:t>
          </w:r>
        </w:p>
      </w:tc>
    </w:tr>
    <w:tr w:rsidR="00D72B18" w:rsidTr="00744A9F">
      <w:trPr>
        <w:trHeight w:val="328"/>
      </w:trPr>
      <w:tc>
        <w:tcPr>
          <w:tcW w:w="1681" w:type="dxa"/>
          <w:vMerge/>
        </w:tcPr>
        <w:p w:rsidR="00D72B18" w:rsidRDefault="00D72B18">
          <w:pPr>
            <w:pStyle w:val="stbilgi"/>
          </w:pPr>
        </w:p>
      </w:tc>
      <w:tc>
        <w:tcPr>
          <w:tcW w:w="6116" w:type="dxa"/>
          <w:vMerge/>
        </w:tcPr>
        <w:p w:rsidR="00D72B18" w:rsidRDefault="00D72B18">
          <w:pPr>
            <w:pStyle w:val="stbilgi"/>
          </w:pPr>
        </w:p>
      </w:tc>
      <w:tc>
        <w:tcPr>
          <w:tcW w:w="1418"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Revizyon No</w:t>
          </w:r>
        </w:p>
      </w:tc>
      <w:tc>
        <w:tcPr>
          <w:tcW w:w="1276"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00</w:t>
          </w:r>
        </w:p>
      </w:tc>
    </w:tr>
    <w:tr w:rsidR="00D72B18" w:rsidTr="00744A9F">
      <w:trPr>
        <w:trHeight w:val="328"/>
      </w:trPr>
      <w:tc>
        <w:tcPr>
          <w:tcW w:w="1681" w:type="dxa"/>
          <w:vMerge/>
        </w:tcPr>
        <w:p w:rsidR="00D72B18" w:rsidRDefault="00D72B18">
          <w:pPr>
            <w:pStyle w:val="stbilgi"/>
          </w:pPr>
        </w:p>
      </w:tc>
      <w:tc>
        <w:tcPr>
          <w:tcW w:w="6116" w:type="dxa"/>
          <w:vMerge/>
        </w:tcPr>
        <w:p w:rsidR="00D72B18" w:rsidRDefault="00D72B18">
          <w:pPr>
            <w:pStyle w:val="stbilgi"/>
          </w:pPr>
        </w:p>
      </w:tc>
      <w:tc>
        <w:tcPr>
          <w:tcW w:w="1418"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Yayın Tarihi</w:t>
          </w:r>
        </w:p>
      </w:tc>
      <w:tc>
        <w:tcPr>
          <w:tcW w:w="1276"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16.03.2022</w:t>
          </w:r>
        </w:p>
      </w:tc>
    </w:tr>
    <w:tr w:rsidR="00D72B18" w:rsidTr="00744A9F">
      <w:trPr>
        <w:trHeight w:val="328"/>
      </w:trPr>
      <w:tc>
        <w:tcPr>
          <w:tcW w:w="1681" w:type="dxa"/>
          <w:vMerge/>
        </w:tcPr>
        <w:p w:rsidR="00D72B18" w:rsidRDefault="00D72B18">
          <w:pPr>
            <w:pStyle w:val="stbilgi"/>
          </w:pPr>
        </w:p>
      </w:tc>
      <w:tc>
        <w:tcPr>
          <w:tcW w:w="6116" w:type="dxa"/>
          <w:vMerge w:val="restart"/>
          <w:vAlign w:val="center"/>
        </w:tcPr>
        <w:p w:rsidR="00D72B18" w:rsidRPr="00C17D1A" w:rsidRDefault="00634EFE" w:rsidP="00C17D1A">
          <w:pPr>
            <w:pStyle w:val="stbilgi"/>
            <w:jc w:val="center"/>
            <w:rPr>
              <w:rFonts w:asciiTheme="majorBidi" w:hAnsiTheme="majorBidi" w:cstheme="majorBidi"/>
              <w:sz w:val="24"/>
              <w:szCs w:val="24"/>
            </w:rPr>
          </w:pPr>
          <w:r w:rsidRPr="00634EFE">
            <w:rPr>
              <w:rFonts w:asciiTheme="majorBidi" w:hAnsiTheme="majorBidi" w:cstheme="majorBidi"/>
              <w:sz w:val="24"/>
              <w:szCs w:val="24"/>
            </w:rPr>
            <w:t>İŞ SAĞLIĞI VE GÜVENLİĞİ TALİMATI</w:t>
          </w:r>
        </w:p>
      </w:tc>
      <w:tc>
        <w:tcPr>
          <w:tcW w:w="1418"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Sayfa No</w:t>
          </w:r>
        </w:p>
      </w:tc>
      <w:tc>
        <w:tcPr>
          <w:tcW w:w="1276"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fldChar w:fldCharType="begin"/>
          </w:r>
          <w:r w:rsidRPr="00C17D1A">
            <w:rPr>
              <w:rFonts w:asciiTheme="majorBidi" w:hAnsiTheme="majorBidi" w:cstheme="majorBidi"/>
              <w:sz w:val="20"/>
              <w:szCs w:val="20"/>
            </w:rPr>
            <w:instrText>PAGE   \* MERGEFORMAT</w:instrText>
          </w:r>
          <w:r w:rsidRPr="00C17D1A">
            <w:rPr>
              <w:rFonts w:asciiTheme="majorBidi" w:hAnsiTheme="majorBidi" w:cstheme="majorBidi"/>
              <w:sz w:val="20"/>
              <w:szCs w:val="20"/>
            </w:rPr>
            <w:fldChar w:fldCharType="separate"/>
          </w:r>
          <w:r w:rsidR="00634EFE">
            <w:rPr>
              <w:rFonts w:asciiTheme="majorBidi" w:hAnsiTheme="majorBidi" w:cstheme="majorBidi"/>
              <w:noProof/>
              <w:sz w:val="20"/>
              <w:szCs w:val="20"/>
            </w:rPr>
            <w:t>1</w:t>
          </w:r>
          <w:r w:rsidRPr="00C17D1A">
            <w:rPr>
              <w:rFonts w:asciiTheme="majorBidi" w:hAnsiTheme="majorBidi" w:cstheme="majorBidi"/>
              <w:sz w:val="20"/>
              <w:szCs w:val="20"/>
            </w:rPr>
            <w:fldChar w:fldCharType="end"/>
          </w:r>
          <w:r w:rsidR="00634EFE">
            <w:rPr>
              <w:rFonts w:asciiTheme="majorBidi" w:hAnsiTheme="majorBidi" w:cstheme="majorBidi"/>
              <w:sz w:val="20"/>
              <w:szCs w:val="20"/>
            </w:rPr>
            <w:t>/1</w:t>
          </w:r>
        </w:p>
      </w:tc>
    </w:tr>
    <w:tr w:rsidR="00D72B18" w:rsidTr="00744A9F">
      <w:trPr>
        <w:trHeight w:val="328"/>
      </w:trPr>
      <w:tc>
        <w:tcPr>
          <w:tcW w:w="1681" w:type="dxa"/>
          <w:vMerge/>
        </w:tcPr>
        <w:p w:rsidR="00D72B18" w:rsidRDefault="00D72B18">
          <w:pPr>
            <w:pStyle w:val="stbilgi"/>
          </w:pPr>
        </w:p>
      </w:tc>
      <w:tc>
        <w:tcPr>
          <w:tcW w:w="6116" w:type="dxa"/>
          <w:vMerge/>
        </w:tcPr>
        <w:p w:rsidR="00D72B18" w:rsidRDefault="00D72B18">
          <w:pPr>
            <w:pStyle w:val="stbilgi"/>
          </w:pPr>
        </w:p>
      </w:tc>
      <w:tc>
        <w:tcPr>
          <w:tcW w:w="1418"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Kurum Kodu</w:t>
          </w:r>
        </w:p>
      </w:tc>
      <w:tc>
        <w:tcPr>
          <w:tcW w:w="1276" w:type="dxa"/>
          <w:vAlign w:val="center"/>
        </w:tcPr>
        <w:p w:rsidR="00D72B18" w:rsidRPr="00C17D1A" w:rsidRDefault="00D72B18" w:rsidP="00C17D1A">
          <w:pPr>
            <w:pStyle w:val="stbilgi"/>
            <w:rPr>
              <w:rFonts w:asciiTheme="majorBidi" w:hAnsiTheme="majorBidi" w:cstheme="majorBidi"/>
              <w:sz w:val="20"/>
              <w:szCs w:val="20"/>
            </w:rPr>
          </w:pPr>
          <w:r w:rsidRPr="00C17D1A">
            <w:rPr>
              <w:rFonts w:asciiTheme="majorBidi" w:hAnsiTheme="majorBidi" w:cstheme="majorBidi"/>
              <w:sz w:val="20"/>
              <w:szCs w:val="20"/>
            </w:rPr>
            <w:t>974515</w:t>
          </w:r>
        </w:p>
      </w:tc>
    </w:tr>
  </w:tbl>
  <w:p w:rsidR="008321B6" w:rsidRDefault="008321B6" w:rsidP="00D72B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6D"/>
    <w:rsid w:val="00034170"/>
    <w:rsid w:val="000C00A5"/>
    <w:rsid w:val="0015316C"/>
    <w:rsid w:val="001612F5"/>
    <w:rsid w:val="001973D9"/>
    <w:rsid w:val="001B7310"/>
    <w:rsid w:val="00634EFE"/>
    <w:rsid w:val="00646A1B"/>
    <w:rsid w:val="00744A9F"/>
    <w:rsid w:val="00785399"/>
    <w:rsid w:val="008321B6"/>
    <w:rsid w:val="00BF117F"/>
    <w:rsid w:val="00C17D1A"/>
    <w:rsid w:val="00CA1E0C"/>
    <w:rsid w:val="00D72B18"/>
    <w:rsid w:val="00D75739"/>
    <w:rsid w:val="00E442BE"/>
    <w:rsid w:val="00E60F6D"/>
    <w:rsid w:val="00FB7B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D72B18"/>
    <w:pPr>
      <w:keepNext/>
      <w:spacing w:after="0" w:line="240" w:lineRule="auto"/>
      <w:jc w:val="center"/>
      <w:outlineLvl w:val="1"/>
    </w:pPr>
    <w:rPr>
      <w:rFonts w:ascii="Arial" w:eastAsia="Times New Roman" w:hAnsi="Arial"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1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21B6"/>
  </w:style>
  <w:style w:type="paragraph" w:styleId="Altbilgi">
    <w:name w:val="footer"/>
    <w:basedOn w:val="Normal"/>
    <w:link w:val="AltbilgiChar"/>
    <w:uiPriority w:val="99"/>
    <w:unhideWhenUsed/>
    <w:rsid w:val="008321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21B6"/>
  </w:style>
  <w:style w:type="table" w:styleId="TabloKlavuzu">
    <w:name w:val="Table Grid"/>
    <w:basedOn w:val="NormalTablo"/>
    <w:uiPriority w:val="59"/>
    <w:rsid w:val="00832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D72B18"/>
    <w:rPr>
      <w:rFonts w:ascii="Arial" w:eastAsia="Times New Roman" w:hAnsi="Arial" w:cs="Times New Roman"/>
      <w:b/>
      <w:sz w:val="24"/>
      <w:szCs w:val="20"/>
      <w:lang w:eastAsia="tr-TR"/>
    </w:rPr>
  </w:style>
  <w:style w:type="paragraph" w:styleId="GvdeMetni2">
    <w:name w:val="Body Text 2"/>
    <w:basedOn w:val="Normal"/>
    <w:link w:val="GvdeMetni2Char"/>
    <w:rsid w:val="00D72B18"/>
    <w:pPr>
      <w:spacing w:after="0" w:line="240" w:lineRule="auto"/>
      <w:jc w:val="center"/>
    </w:pPr>
    <w:rPr>
      <w:rFonts w:ascii="Tahoma" w:eastAsia="Times New Roman" w:hAnsi="Tahoma" w:cs="Times New Roman"/>
      <w:b/>
      <w:sz w:val="24"/>
      <w:szCs w:val="20"/>
      <w:lang w:eastAsia="tr-TR"/>
    </w:rPr>
  </w:style>
  <w:style w:type="character" w:customStyle="1" w:styleId="GvdeMetni2Char">
    <w:name w:val="Gövde Metni 2 Char"/>
    <w:basedOn w:val="VarsaylanParagrafYazTipi"/>
    <w:link w:val="GvdeMetni2"/>
    <w:rsid w:val="00D72B18"/>
    <w:rPr>
      <w:rFonts w:ascii="Tahoma" w:eastAsia="Times New Roman" w:hAnsi="Tahoma" w:cs="Times New Roman"/>
      <w:b/>
      <w:sz w:val="24"/>
      <w:szCs w:val="20"/>
      <w:lang w:eastAsia="tr-TR"/>
    </w:rPr>
  </w:style>
  <w:style w:type="paragraph" w:styleId="GvdeMetniGirintisi3">
    <w:name w:val="Body Text Indent 3"/>
    <w:basedOn w:val="Normal"/>
    <w:link w:val="GvdeMetniGirintisi3Char"/>
    <w:uiPriority w:val="99"/>
    <w:semiHidden/>
    <w:unhideWhenUsed/>
    <w:rsid w:val="00634EFE"/>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34EFE"/>
    <w:rPr>
      <w:sz w:val="16"/>
      <w:szCs w:val="16"/>
    </w:rPr>
  </w:style>
  <w:style w:type="paragraph" w:styleId="ListeParagraf">
    <w:name w:val="List Paragraph"/>
    <w:basedOn w:val="Normal"/>
    <w:uiPriority w:val="34"/>
    <w:qFormat/>
    <w:rsid w:val="00634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D72B18"/>
    <w:pPr>
      <w:keepNext/>
      <w:spacing w:after="0" w:line="240" w:lineRule="auto"/>
      <w:jc w:val="center"/>
      <w:outlineLvl w:val="1"/>
    </w:pPr>
    <w:rPr>
      <w:rFonts w:ascii="Arial" w:eastAsia="Times New Roman" w:hAnsi="Arial"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1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21B6"/>
  </w:style>
  <w:style w:type="paragraph" w:styleId="Altbilgi">
    <w:name w:val="footer"/>
    <w:basedOn w:val="Normal"/>
    <w:link w:val="AltbilgiChar"/>
    <w:uiPriority w:val="99"/>
    <w:unhideWhenUsed/>
    <w:rsid w:val="008321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21B6"/>
  </w:style>
  <w:style w:type="table" w:styleId="TabloKlavuzu">
    <w:name w:val="Table Grid"/>
    <w:basedOn w:val="NormalTablo"/>
    <w:uiPriority w:val="59"/>
    <w:rsid w:val="00832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D72B18"/>
    <w:rPr>
      <w:rFonts w:ascii="Arial" w:eastAsia="Times New Roman" w:hAnsi="Arial" w:cs="Times New Roman"/>
      <w:b/>
      <w:sz w:val="24"/>
      <w:szCs w:val="20"/>
      <w:lang w:eastAsia="tr-TR"/>
    </w:rPr>
  </w:style>
  <w:style w:type="paragraph" w:styleId="GvdeMetni2">
    <w:name w:val="Body Text 2"/>
    <w:basedOn w:val="Normal"/>
    <w:link w:val="GvdeMetni2Char"/>
    <w:rsid w:val="00D72B18"/>
    <w:pPr>
      <w:spacing w:after="0" w:line="240" w:lineRule="auto"/>
      <w:jc w:val="center"/>
    </w:pPr>
    <w:rPr>
      <w:rFonts w:ascii="Tahoma" w:eastAsia="Times New Roman" w:hAnsi="Tahoma" w:cs="Times New Roman"/>
      <w:b/>
      <w:sz w:val="24"/>
      <w:szCs w:val="20"/>
      <w:lang w:eastAsia="tr-TR"/>
    </w:rPr>
  </w:style>
  <w:style w:type="character" w:customStyle="1" w:styleId="GvdeMetni2Char">
    <w:name w:val="Gövde Metni 2 Char"/>
    <w:basedOn w:val="VarsaylanParagrafYazTipi"/>
    <w:link w:val="GvdeMetni2"/>
    <w:rsid w:val="00D72B18"/>
    <w:rPr>
      <w:rFonts w:ascii="Tahoma" w:eastAsia="Times New Roman" w:hAnsi="Tahoma" w:cs="Times New Roman"/>
      <w:b/>
      <w:sz w:val="24"/>
      <w:szCs w:val="20"/>
      <w:lang w:eastAsia="tr-TR"/>
    </w:rPr>
  </w:style>
  <w:style w:type="paragraph" w:styleId="GvdeMetniGirintisi3">
    <w:name w:val="Body Text Indent 3"/>
    <w:basedOn w:val="Normal"/>
    <w:link w:val="GvdeMetniGirintisi3Char"/>
    <w:uiPriority w:val="99"/>
    <w:semiHidden/>
    <w:unhideWhenUsed/>
    <w:rsid w:val="00634EFE"/>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34EFE"/>
    <w:rPr>
      <w:sz w:val="16"/>
      <w:szCs w:val="16"/>
    </w:rPr>
  </w:style>
  <w:style w:type="paragraph" w:styleId="ListeParagraf">
    <w:name w:val="List Paragraph"/>
    <w:basedOn w:val="Normal"/>
    <w:uiPriority w:val="34"/>
    <w:qFormat/>
    <w:rsid w:val="00634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AFC12-0974-4D4B-960B-C79D1192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398</Words>
  <Characters>2275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İSG uzmanı</cp:lastModifiedBy>
  <cp:revision>4</cp:revision>
  <dcterms:created xsi:type="dcterms:W3CDTF">2024-01-08T18:05:00Z</dcterms:created>
  <dcterms:modified xsi:type="dcterms:W3CDTF">2024-01-11T09:24:00Z</dcterms:modified>
</cp:coreProperties>
</file>